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明治二十八年勅令第百六十七号（標準時ニ関スル件）</w:t>
        <w:br/>
        <w:t>（明治二十八年勅令第百六十七号）</w:t>
      </w:r>
    </w:p>
    <w:p>
      <w:pPr>
        <w:pStyle w:val="Heading4"/>
      </w:pPr>
      <w:r>
        <w:t>第一条</w:t>
      </w:r>
    </w:p>
    <w:p>
      <w:r>
        <w:t>帝国従来ノ標準時ハ自今之ヲ中央標準時ト称ス</w:t>
      </w:r>
    </w:p>
    <w:p>
      <w:pPr>
        <w:pStyle w:val="Heading4"/>
      </w:pPr>
      <w:r>
        <w:t>第二条</w:t>
      </w:r>
    </w:p>
    <w:p>
      <w:r>
        <w:t>削除</w:t>
      </w:r>
    </w:p>
    <w:p>
      <w:pPr>
        <w:pStyle w:val="Heading4"/>
      </w:pPr>
      <w:r>
        <w:t>第三条</w:t>
      </w:r>
    </w:p>
    <w:p>
      <w:r>
        <w:t>本令ハ明治二十九年一月一日ヨリ施行ス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本令ハ昭和十二年十月一日ヨリ之ヲ施行ス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明治二十八年勅令第百六十七号（標準時ニ関スル件）</w:t>
      <w:br/>
      <w:tab/>
      <w:t>（明治二十八年勅令第百六十七号）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明治二十八年勅令第百六十七号（標準時ニ関スル件）（明治二十八年勅令第百六十七号）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