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昭和二十二年法律第八十二号（国会予備金に関する法律）</w:t>
        <w:br/>
        <w:t>（昭和二十二年法律第八十二号）</w:t>
      </w:r>
    </w:p>
    <w:p>
      <w:pPr>
        <w:pStyle w:val="Heading4"/>
      </w:pPr>
      <w:r>
        <w:t>第一条</w:t>
      </w:r>
    </w:p>
    <w:p>
      <w:r>
        <w:t>各議院の予備金は、その院の議長がこれを管理する。</w:t>
      </w:r>
    </w:p>
    <w:p>
      <w:pPr>
        <w:pStyle w:val="Heading4"/>
      </w:pPr>
      <w:r>
        <w:t>第二条</w:t>
      </w:r>
    </w:p>
    <w:p>
      <w:r>
        <w:t>各議院の予備金を支出するには、事前に、時宜によつては事後に、その院の議院運営委員会の承認を経なければならない。</w:t>
      </w:r>
    </w:p>
    <w:p>
      <w:pPr>
        <w:pStyle w:val="Heading4"/>
      </w:pPr>
      <w:r>
        <w:t>第三条</w:t>
      </w:r>
    </w:p>
    <w:p>
      <w:r>
        <w:t>各議院の予備金の支出については、これを議院運営委員会の委員長が、次の常会の会期の初めにおいて、その院に報告して承諾を求めなければならない。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この法律は、国会法施行の日から、これを施行する。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昭和二十二年法律第八十二号（国会予備金に関する法律）</w:t>
      <w:br/>
      <w:tab/>
      <w:t>（昭和二十二年法律第八十二号）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昭和二十二年法律第八十二号（国会予備金に関する法律）（昭和二十二年法律第八十二号）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