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昭和二十二年法律第百十七号（裁判所予備金に関する法律）</w:t>
        <w:br/>
        <w:t>（昭和二十二年法律第百十七号）</w:t>
      </w:r>
    </w:p>
    <w:p>
      <w:pPr>
        <w:pStyle w:val="Heading4"/>
      </w:pPr>
      <w:r>
        <w:t>第一条</w:t>
      </w:r>
    </w:p>
    <w:p>
      <w:r>
        <w:t>裁判所の予備金は、最高裁判所長官が、これを管理する。</w:t>
      </w:r>
    </w:p>
    <w:p>
      <w:pPr>
        <w:pStyle w:val="Heading4"/>
      </w:pPr>
      <w:r>
        <w:t>第二条</w:t>
      </w:r>
    </w:p>
    <w:p>
      <w:r>
        <w:t>裁判所の予備金を支出するには、事前に、時宜によつては事後に、最高裁判所の裁判官会議の承認を経なければならない。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昭和二十二年法律第百十七号（裁判所予備金に関する法律）</w:t>
      <w:br/>
      <w:tab/>
      <w:t>（昭和二十二年法律第百十七号）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昭和二十二年法律第百十七号（裁判所予備金に関する法律）（昭和二十二年法律第百十七号）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