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昭和五十一年度の公債の発行の特例に関する法律</w:t>
        <w:br/>
        <w:t>（昭和五十一年法律第七十三号）</w:t>
      </w:r>
    </w:p>
    <w:p>
      <w:pPr>
        <w:pStyle w:val="Heading4"/>
      </w:pPr>
      <w:r>
        <w:t>第一条（趣旨）</w:t>
      </w:r>
    </w:p>
    <w:p>
      <w:r>
        <w:t>この法律は、昭和五十一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一年度の一般会計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前条の規定による公債の発行は、昭和五十二年五月三十一日までの間、行うことができる。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昭和五十一年度の公債の発行の特例に関する法律</w:t>
      <w:br/>
      <w:tab/>
      <w:t>（昭和五十一年法律第七十三号）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昭和五十一年度の公債の発行の特例に関する法律（昭和五十一年法律第七十三号）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