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昭和五十四年度の公債の発行の特例に関する法律</w:t>
        <w:br/>
        <w:t>（昭和五十四年法律第二十六号）</w:t>
      </w:r>
    </w:p>
    <w:p>
      <w:pPr>
        <w:pStyle w:val="Heading4"/>
      </w:pPr>
      <w:r>
        <w:t>第一条（趣旨）</w:t>
      </w:r>
    </w:p>
    <w:p>
      <w:r>
        <w:t>この法律は、昭和五十四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四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前条の規定による公債の発行は、昭和五十五年六月三十日までの間、行うことができる。</w:t>
        <w:br/>
        <w:t>この場合において、同年四月一日以後発行される同条の公債に係る収入は、昭和五十四年度所属の歳入とする。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昭和五十四年度の公債の発行の特例に関する法律</w:t>
      <w:br/>
      <w:tab/>
      <w:t>（昭和五十四年法律第二十六号）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昭和五十四年度の公債の発行の特例に関する法律（昭和五十四年法律第二十六号）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