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昭和六十一年度の財政運営に必要な財源の確保を図るための特別措置に関する法律</w:t>
        <w:br/>
        <w:t>（昭和六十一年法律第六十一号）</w:t>
      </w:r>
    </w:p>
    <w:p>
      <w:pPr>
        <w:pStyle w:val="Heading4"/>
      </w:pPr>
      <w:r>
        <w:t>第一条（趣旨）</w:t>
      </w:r>
    </w:p>
    <w:p>
      <w:r>
        <w:t>この法律は、昭和六十一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六十一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前項の規定による公債の発行は、昭和六十二年六月三十日までの間、行うことができる。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つた場合においては、その速やかな減債に努めるものとする。</w:t>
      </w:r>
    </w:p>
    <w:p>
      <w:pPr>
        <w:pStyle w:val="Heading4"/>
      </w:pPr>
      <w:r>
        <w:t>第三条（一般会計からの国債整理基金に充てるべき資金の繰入れの特例）</w:t>
      </w:r>
    </w:p>
    <w:p>
      <w:r>
        <w:t>昭和六十一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昭和六十一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千三百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千三百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昭和六十一年度の財政運営に必要な財源の確保を図るための特別措置に関する法律</w:t>
      <w:br/>
      <w:tab/>
      <w:t>（昭和六十一年法律第六十一号）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昭和六十一年度の財政運営に必要な財源の確保を図るための特別措置に関する法律（昭和六十一年法律第六十一号）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