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昭和十二年大蔵省令第十四号（収入印紙ノ紙質ニ関スル件）</w:t>
        <w:br/>
        <w:t>（昭和十二年大蔵省令第十四号）</w:t>
      </w:r>
    </w:p>
    <w:p>
      <w:r>
        <w:t>収入印紙ノ紙質ヲ波状連続透視模様アルモノニ改ム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本令ハ公布ノ日ヨリ之ヲ施行ス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従前ノ収入印紙ハ当分ノ内之ヲ使用スルコトヲ得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昭和十二年大蔵省令第十四号（収入印紙ノ紙質ニ関スル件）</w:t>
      <w:br/>
      <w:tab/>
      <w:t>（昭和十二年大蔵省令第十四号）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昭和十二年大蔵省令第十四号（収入印紙ノ紙質ニ関スル件）（昭和十二年大蔵省令第十四号）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