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最低賃金法第三十五条第二項の地方運輸局を定める政令</w:t>
        <w:br/>
        <w:t>（昭和五十九年政令第百七十九号）</w:t>
      </w:r>
    </w:p>
    <w:p>
      <w:r>
        <w:t>最低賃金法第三十五条第二項の政令で定める地方運輸局は、近畿運輸局とする。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この政令は、昭和五十九年七月一日から施行する。</w:t>
      </w:r>
    </w:p>
    <w:p>
      <w:r>
        <w:br w:type="page"/>
      </w:r>
    </w:p>
    <w:p>
      <w:pPr>
        <w:pStyle w:val="Heading1"/>
      </w:pPr>
      <w:r>
        <w:t>附則（平成二〇年四月二五日政令第一五一号）</w:t>
      </w:r>
    </w:p>
    <w:p>
      <w:r>
        <w:t>この政令は、最低賃金法の一部を改正する法律の施行の日（平成二十年七月一日）から施行する。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最低賃金法第三十五条第二項の地方運輸局を定める政令</w:t>
      <w:br/>
      <w:tab/>
      <w:t>（昭和五十九年政令第百七十九号）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最低賃金法第三十五条第二項の地方運輸局を定める政令（昭和五十九年政令第百七十九号）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