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未帰還者に関する特別措置法施行令</w:t>
        <w:br/>
        <w:t>（昭和三十四年政令第五十一号）</w:t>
      </w:r>
    </w:p>
    <w:p>
      <w:pPr>
        <w:pStyle w:val="Heading4"/>
      </w:pPr>
      <w:r>
        <w:t>第一条（法第十三条の二第一号の政令で定める地域及び日）</w:t>
      </w:r>
    </w:p>
    <w:p>
      <w:r>
        <w:t>未帰還者に関する特別措置法（以下「法」という。）第十三条の二第一号に規定する政令で定める地域及び政令で定める日は、次の表のとおりとする。</w:t>
      </w:r>
    </w:p>
    <w:p>
      <w:pPr>
        <w:pStyle w:val="Heading4"/>
      </w:pPr>
      <w:r>
        <w:t>第一条の二（民法第三十条の宣告の請求の権限に属する事務の処理）</w:t>
      </w:r>
    </w:p>
    <w:p>
      <w:r>
        <w:t>法第二条第一項に定める厚生労働大臣の権限に属する事務のうち、次の表の上欄に掲げる者に係る民法（明治二十九年法律第八十九号）第三十条の宣告の請求を行う権限に属する事務は、それぞれ、同表の下欄に掲げる者が行うこととする。</w:t>
        <w:br/>
        <w:t>この場合においては、法の規定中当該事務に係る厚生労働大臣に関する規定は、都道府県知事に関する規定として都道府県知事に適用があるものとする。</w:t>
      </w:r>
    </w:p>
    <w:p>
      <w:pPr>
        <w:pStyle w:val="Heading4"/>
      </w:pPr>
      <w:r>
        <w:t>第二条（弔慰料の支給に関する権限に属する事務の処理）</w:t>
      </w:r>
    </w:p>
    <w:p>
      <w:r>
        <w:t>法第三条第一項に定める弔慰料の支給に関する権限に属する事務のうち本邦に居住する遺族に係る支給に関する権限に属する事務は、当該居住地の都道府県知事が行うこととする。</w:t>
        <w:br/>
        <w:t>この場合においては、法の規定中当該事務に係る厚生労働大臣に関する規定は、都道府県知事に関する規定として都道府県知事に適用があるものとする。</w:t>
      </w:r>
    </w:p>
    <w:p>
      <w:pPr>
        <w:pStyle w:val="Heading4"/>
      </w:pPr>
      <w:r>
        <w:t>第三条（事務の区分）</w:t>
      </w:r>
    </w:p>
    <w:p>
      <w:r>
        <w:t>前二条の規定により都道府県が処理することとされている事務は、地方自治法（昭和二十二年法律第六十七号）第二条第九項第一号に規定する第一号法定受託事務とする。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この政令は、昭和三十四年四月一日から施行する。</w:t>
      </w:r>
    </w:p>
    <w:p>
      <w:r>
        <w:br w:type="page"/>
      </w:r>
    </w:p>
    <w:p>
      <w:pPr>
        <w:pStyle w:val="Heading1"/>
      </w:pPr>
      <w:r>
        <w:t>附則（昭和三八年五月二日政令第一五七号）</w:t>
      </w:r>
    </w:p>
    <w:p>
      <w:pPr>
        <w:pStyle w:val="Heading5"/>
        <w:ind w:left="440"/>
      </w:pPr>
      <w:r>
        <w:t>１</w:t>
      </w:r>
    </w:p>
    <w:p>
      <w:pPr>
        <w:ind w:left="440"/>
      </w:pPr>
      <w:r>
        <w:t>この政令は、昭和三十八年十月一日から施行する。</w:t>
        <w:br/>
        <w:t>ただし、第二条、第三条及び附則第九項の規定は、公布の日から施行する。</w:t>
      </w:r>
    </w:p>
    <w:p>
      <w:r>
        <w:br w:type="page"/>
      </w:r>
    </w:p>
    <w:p>
      <w:pPr>
        <w:pStyle w:val="Heading1"/>
      </w:pPr>
      <w:r>
        <w:t>附則（昭和四七年四月二八日政令第一〇九号）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未帰還者に関する特別措置法施行令</w:t>
      <w:br/>
      <w:tab/>
      <w:t>（昭和三十四年政令第五十一号）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未帰還者に関する特別措置法施行令（昭和三十四年政令第五十一号）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