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東チモール避難民救援国際平和協力隊の設置等に関する政令</w:t>
        <w:br/>
        <w:t>（平成十一年政令第三百七十八号）</w:t>
      </w:r>
    </w:p>
    <w:p>
      <w:pPr>
        <w:pStyle w:val="Heading4"/>
      </w:pPr>
      <w:r>
        <w:t>第一条（国際平和協力隊の設置）</w:t>
      </w:r>
    </w:p>
    <w:p>
      <w:r>
        <w:t>国際平和協力本部に、東チモールにおける紛争により西チモールに避難することを余儀なくされた住民（以下「東チモール避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二年二月二十一日までの間、東チモール避難民救援国際平和協力隊（以下「協力隊」という。）を置く。</w:t>
      </w:r>
    </w:p>
    <w:p>
      <w:pPr>
        <w:pStyle w:val="Heading4"/>
      </w:pPr>
      <w:r>
        <w:t>第二条（国際平和協力手当）</w:t>
      </w:r>
    </w:p>
    <w:p>
      <w:r>
        <w:t>東チモール避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東チモール避難民救援国際平和協力隊の設置等に関する政令</w:t>
      <w:br/>
      <w:tab/>
      <w:t>（平成十一年政令第三百七十八号）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東チモール避難民救援国際平和協力隊の設置等に関する政令（平成十一年政令第三百七十八号）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