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東ティモール国際平和協力隊の設置等に関する政令</w:t>
        <w:br/>
        <w:t>（平成二十二年政令第二百一号）</w:t>
      </w:r>
    </w:p>
    <w:p>
      <w:pPr>
        <w:pStyle w:val="Heading4"/>
      </w:pPr>
      <w:r>
        <w:t>第一条（国際平和協力隊の設置）</w:t>
      </w:r>
    </w:p>
    <w:p>
      <w:r>
        <w:t>国際平和協力本部に、東ティモールにおける国際連合平和維持活動のため、国際連合平和維持活動等に対する協力に関する法律（以下「法」という。）第三条第三号イに掲げる業務のうち武力紛争の停止の遵守状況の監視に係る国際平和協力業務及び法第四条第二項第三号に掲げる事務を行う組織として、平成二十五年二月二十八日までの間、東ティモール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東ティモールにおける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東ティモール国際平和協力隊の設置等に関する政令（平成十九年政令第十六号）は、廃止する。</w:t>
      </w:r>
    </w:p>
    <w:p>
      <w:r>
        <w:br w:type="page"/>
      </w:r>
    </w:p>
    <w:p>
      <w:pPr>
        <w:pStyle w:val="Heading1"/>
      </w:pPr>
      <w:r>
        <w:t>附則（平成二三年四月一三日政令第一〇〇号）</w:t>
      </w:r>
    </w:p>
    <w:p>
      <w:r>
        <w:t>この政令は、公布の日から施行する。</w:t>
      </w:r>
    </w:p>
    <w:p>
      <w:r>
        <w:br w:type="page"/>
      </w:r>
    </w:p>
    <w:p>
      <w:pPr>
        <w:pStyle w:val="Heading1"/>
      </w:pPr>
      <w:r>
        <w:t>附則（平成二四年四月二〇日政令第一三五号）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東ティモール国際平和協力隊の設置等に関する政令</w:t>
      <w:br/>
      <w:tab/>
      <w:t>（平成二十二年政令第二百一号）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東ティモール国際平和協力隊の設置等に関する政令（平成二十二年政令第二百一号）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