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東日本大震災に係る原子力損害賠償紛争についての原子力損害賠償紛争審査会による和解仲介手続の利用に係る時効の中断の特例に関する法律第二条の理由を定める政令</w:t>
        <w:br/>
        <w:t>（平成二十五年政令第百七十二号）</w:t>
      </w:r>
    </w:p>
    <w:p>
      <w:r>
        <w:t>東日本大震災に係る原子力損害賠償紛争についての原子力損害賠償紛争審査会による和解仲介手続の利用に係る時効の中断の特例に関する法律第二条の政令で定める理由は、和解の仲介によっては申立てに係る東日本大震災に係る原子力損害賠償紛争が解決される見込みがないこととす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東日本大震災に係る原子力損害賠償紛争についての原子力損害賠償紛争審査会による和解仲介手続の利用に係る時効の中断の特例に関する法律第二条の理由を定める政令</w:t>
      <w:br/>
      <w:tab/>
      <w:t>（平成二十五年政令第百七十二号）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東日本大震災に係る原子力損害賠償紛争についての原子力損害賠償紛争審査会による和解仲介手続の利用に係る時効の中断の特例に関する法律第二条の理由を定める政令（平成二十五年政令第百七十二号）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