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柔道整復師法施行規則</w:t>
        <w:br/>
        <w:t>（平成二年厚生省令第二十号）</w:t>
      </w:r>
    </w:p>
    <w:p>
      <w:pPr>
        <w:pStyle w:val="Heading2"/>
      </w:pPr>
      <w:r>
        <w:t>第一章　免許</w:t>
      </w:r>
    </w:p>
    <w:p>
      <w:pPr>
        <w:pStyle w:val="Heading4"/>
      </w:pPr>
      <w:r>
        <w:t>第一条（法第四条第一号の厚生労働省令で定める者）</w:t>
      </w:r>
    </w:p>
    <w:p>
      <w:r>
        <w:t>柔道整復師法（昭和四十五年法律第十九号。以下「法」という。）第四条第一号の厚生労働省令で定める者は、精神の機能の障害により柔道整復師の業務を適正に行うに当たって必要な認知、判断及び意思疎通を適切に行うことができない者とする。</w:t>
      </w:r>
    </w:p>
    <w:p>
      <w:pPr>
        <w:pStyle w:val="Heading4"/>
      </w:pPr>
      <w:r>
        <w:t>第一条の二（治療等の考慮）</w:t>
      </w:r>
    </w:p>
    <w:p>
      <w:r>
        <w:t>厚生労働大臣は、柔道整復師の免許（以下「免許」という。）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柔道整復師国家試験（以下「試験」という。）の合格証書の写し又は合格証明書</w:t>
      </w:r>
    </w:p>
    <w:p>
      <w:pPr>
        <w:pStyle w:val="ListBullet"/>
        <w:ind w:left="880"/>
      </w:pPr>
      <w:r>
        <w:t>二</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ListBullet"/>
        <w:ind w:left="880"/>
      </w:pPr>
      <w:r>
        <w:t>三</w:t>
        <w:br/>
        <w:t>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柔道整復師名簿（以下「名簿」という。）には、次に掲げる事項を登録する。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試験合格の年月</w:t>
      </w:r>
    </w:p>
    <w:p>
      <w:pPr>
        <w:pStyle w:val="ListBullet"/>
        <w:ind w:left="880"/>
      </w:pPr>
      <w:r>
        <w:t>四</w:t>
        <w:br/>
        <w:t>免許の取消し又は業務の停止の処分に関する事項</w:t>
      </w:r>
    </w:p>
    <w:p>
      <w:pPr>
        <w:pStyle w:val="ListBullet"/>
        <w:ind w:left="880"/>
      </w:pPr>
      <w:r>
        <w:t>五</w:t>
        <w:br/>
        <w:t>再免許の場合には、その旨</w:t>
      </w:r>
    </w:p>
    <w:p>
      <w:pPr>
        <w:pStyle w:val="ListBullet"/>
        <w:ind w:left="880"/>
      </w:pPr>
      <w:r>
        <w:t>六</w:t>
        <w:br/>
        <w:t>柔道整復師免許証（以下「免許証」という。）又は柔道整復師免許証明書（以下「免許証明書」という。）を書換え交付し、又は再交付した場合には、その旨並びにその理由及び年月日</w:t>
      </w:r>
    </w:p>
    <w:p>
      <w:pPr>
        <w:pStyle w:val="ListBullet"/>
        <w:ind w:left="880"/>
      </w:pPr>
      <w:r>
        <w:t>七</w:t>
        <w:br/>
        <w:t>登録の消除をした場合には、その旨並びにその理由及び年月日</w:t>
      </w:r>
    </w:p>
    <w:p>
      <w:pPr>
        <w:pStyle w:val="Heading4"/>
      </w:pPr>
      <w:r>
        <w:t>第三条（名簿の訂正）</w:t>
      </w:r>
    </w:p>
    <w:p>
      <w:r>
        <w:t>柔道整復師は、前条第二号の登録事項に変更を生じたときは、三十日以内に、名簿の訂正を申請しなければならない。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柔道整復師が死亡し、又は失踪そう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5"/>
        <w:ind w:left="440"/>
      </w:pPr>
      <w:r>
        <w:t>３</w:t>
      </w:r>
    </w:p>
    <w:p>
      <w:pPr>
        <w:ind w:left="440"/>
      </w:pPr>
      <w:r>
        <w:t>前項の規定による名簿の登録の消除を申請するには、申請書に、当該柔道整復師が死亡し、又は失踪そう</w:t>
        <w:br/>
        <w:t>の宣告を受けたことを証する書類を添えなければならない。</w:t>
      </w:r>
    </w:p>
    <w:p>
      <w:pPr>
        <w:pStyle w:val="Heading4"/>
      </w:pPr>
      <w:r>
        <w:t>第五条（免許証の書換え交付申請）</w:t>
      </w:r>
    </w:p>
    <w:p>
      <w:r>
        <w:t>柔道整復師は、免許証又は免許証明書の記載事項に変更を生じたときは、免許証の書換え交付を申請することができる。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柔道整復師は、免許証又は免許証明書を破り、汚し、又は失ったときは、免許証の再交付を申請することができる。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第一項の申請をする場合には、手数料として四千円を国に納めなければならない。</w:t>
      </w:r>
    </w:p>
    <w:p>
      <w:pPr>
        <w:pStyle w:val="Heading5"/>
        <w:ind w:left="440"/>
      </w:pPr>
      <w:r>
        <w:t>４</w:t>
      </w:r>
    </w:p>
    <w:p>
      <w:pPr>
        <w:ind w:left="440"/>
      </w:pPr>
      <w:r>
        <w:t>免許証又は免許証明書を破り、又は汚した柔道整復師が第一項の申請をする場合には、申請書にその免許証又は免許証明書を添えなければならない。</w:t>
      </w:r>
    </w:p>
    <w:p>
      <w:pPr>
        <w:pStyle w:val="Heading5"/>
        <w:ind w:left="440"/>
      </w:pPr>
      <w:r>
        <w:t>５</w:t>
      </w:r>
    </w:p>
    <w:p>
      <w:pPr>
        <w:ind w:left="440"/>
      </w:pPr>
      <w:r>
        <w:t>柔道整復師は、免許証の再交付を受けた後、失った免許証又は免許証明書を発見したときは、五日以内に、これを厚生労働大臣に返納しなければならない。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柔道整復師は、名簿の登録の消除を申請するときは、免許証又は免許証明書を厚生労働大臣に返納しなければならない。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柔道整復師は、免許を取り消されたときは、五日以内に、免許証又は免許証明書を厚生労働大臣に返納しなければならない。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八条の二第一項に規定する指定登録機関（以下「指定登録機関」という。）が柔道整復師の登録の実施等に関する事務を行う場合における第一条の三第一項、第三条第二項、第四条第一項、第五条（見出しを含む。）、第六条の見出し、同条第一項、第二項及び第五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第一項に規定する場合においては、第六条第三項及び第八条第二項の規定は適用しない。</w:t>
      </w:r>
    </w:p>
    <w:p>
      <w:pPr>
        <w:pStyle w:val="Heading2"/>
      </w:pPr>
      <w:r>
        <w:t>第二章　試験</w:t>
      </w:r>
    </w:p>
    <w:p>
      <w:pPr>
        <w:pStyle w:val="Heading4"/>
      </w:pPr>
      <w:r>
        <w:t>第十条（試験科目）</w:t>
      </w:r>
    </w:p>
    <w:p>
      <w:r>
        <w:t>試験の科目は、次のとおりとする。</w:t>
        <w:br/>
        <w:t>解剖学</w:t>
        <w:br/>
        <w:t>生理学</w:t>
        <w:br/>
        <w:t>運動学</w:t>
        <w:br/>
        <w:t>病理学概論</w:t>
        <w:br/>
        <w:t>衛生学・公衆衛生学</w:t>
        <w:br/>
        <w:t>一般臨床医学</w:t>
        <w:br/>
        <w:t>外科学概論</w:t>
        <w:br/>
        <w:t>整形外科学</w:t>
        <w:br/>
        <w:t>リハビリテーション医学</w:t>
        <w:br/>
        <w:t>柔道整復理論</w:t>
        <w:br/>
        <w:t>関係法規</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修業証明書又は卒業証明書</w:t>
      </w:r>
    </w:p>
    <w:p>
      <w:pPr>
        <w:pStyle w:val="ListBullet"/>
        <w:ind w:left="880"/>
      </w:pPr>
      <w:r>
        <w:t>二</w:t>
        <w:br/>
        <w:t>写真（出願前六月以内に脱帽して正面から撮影した縦六センチメートル横四センチメートルのもので、その裏面には撮影年月日及び氏名を記載すること。）</w:t>
      </w:r>
    </w:p>
    <w:p>
      <w:pPr>
        <w:pStyle w:val="Heading4"/>
      </w:pPr>
      <w:r>
        <w:t>第十三条（合格証書の交付）</w:t>
      </w:r>
    </w:p>
    <w:p>
      <w:r>
        <w:t>厚生労働大臣は、試験に合格した者に合格証書を交付するものとする。</w:t>
      </w:r>
    </w:p>
    <w:p>
      <w:pPr>
        <w:pStyle w:val="Heading4"/>
      </w:pPr>
      <w:r>
        <w:t>第十四条（合格証明書の交付及び手数料）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第十五条（手数料の納入方法）</w:t>
      </w:r>
    </w:p>
    <w:p>
      <w:r>
        <w:t>第十二条第一項又は前条第一項の出願又は申請をする場合には、手数料の額に相当する収入印紙を受験願書又は申請書にはらなければならない。</w:t>
      </w:r>
    </w:p>
    <w:p>
      <w:pPr>
        <w:pStyle w:val="Heading4"/>
      </w:pPr>
      <w:r>
        <w:t>第十六条（規定の適用等）</w:t>
      </w:r>
    </w:p>
    <w:p>
      <w:r>
        <w:t>法第十三条の三第一項に規定する指定試験機関（以下「指定試験機関」という。）が試験の実施に関する事務を行う場合における第十二条第一項、第十三条及び第十四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前項の規定により読み替えて適用する第十四条第二項の規定により指定試験機関に納められた手数料は、指定試験機関の収入とする。</w:t>
      </w:r>
    </w:p>
    <w:p>
      <w:pPr>
        <w:pStyle w:val="Heading5"/>
        <w:ind w:left="440"/>
      </w:pPr>
      <w:r>
        <w:t>３</w:t>
      </w:r>
    </w:p>
    <w:p>
      <w:pPr>
        <w:ind w:left="440"/>
      </w:pPr>
      <w:r>
        <w:t>第一項に規定する場合においては、第十五条の規定は適用しない。</w:t>
      </w:r>
    </w:p>
    <w:p>
      <w:pPr>
        <w:pStyle w:val="Heading2"/>
      </w:pPr>
      <w:r>
        <w:t>第三章　施術所</w:t>
      </w:r>
    </w:p>
    <w:p>
      <w:pPr>
        <w:pStyle w:val="Heading4"/>
      </w:pPr>
      <w:r>
        <w:t>第十七条（届出事項）</w:t>
      </w:r>
    </w:p>
    <w:p>
      <w:r>
        <w:t>法第十九条第一項前段の規定により届け出なければならない事項は、次のとおりとする。</w:t>
      </w:r>
    </w:p>
    <w:p>
      <w:pPr>
        <w:pStyle w:val="ListBullet"/>
        <w:ind w:left="880"/>
      </w:pPr>
      <w:r>
        <w:t>一</w:t>
        <w:br/>
        <w:t>開設者の氏名及び住所（法人については、名称及び主たる事務所の所在地）</w:t>
      </w:r>
    </w:p>
    <w:p>
      <w:pPr>
        <w:pStyle w:val="ListBullet"/>
        <w:ind w:left="880"/>
      </w:pPr>
      <w:r>
        <w:t>二</w:t>
        <w:br/>
        <w:t>開設の年月日</w:t>
      </w:r>
    </w:p>
    <w:p>
      <w:pPr>
        <w:pStyle w:val="ListBullet"/>
        <w:ind w:left="880"/>
      </w:pPr>
      <w:r>
        <w:t>三</w:t>
        <w:br/>
        <w:t>名称</w:t>
      </w:r>
    </w:p>
    <w:p>
      <w:pPr>
        <w:pStyle w:val="ListBullet"/>
        <w:ind w:left="880"/>
      </w:pPr>
      <w:r>
        <w:t>四</w:t>
        <w:br/>
        <w:t>開設の場所</w:t>
      </w:r>
    </w:p>
    <w:p>
      <w:pPr>
        <w:pStyle w:val="ListBullet"/>
        <w:ind w:left="880"/>
      </w:pPr>
      <w:r>
        <w:t>五</w:t>
        <w:br/>
        <w:t>業務に従事する柔道整復師の氏名</w:t>
      </w:r>
    </w:p>
    <w:p>
      <w:pPr>
        <w:pStyle w:val="ListBullet"/>
        <w:ind w:left="880"/>
      </w:pPr>
      <w:r>
        <w:t>六</w:t>
        <w:br/>
        <w:t>構造設備の概要及び平面図</w:t>
      </w:r>
    </w:p>
    <w:p>
      <w:pPr>
        <w:pStyle w:val="Heading4"/>
      </w:pPr>
      <w:r>
        <w:t>第十八条（施術所の構造設備基準）</w:t>
      </w:r>
    </w:p>
    <w:p>
      <w:r>
        <w:t>法第二十条第一項の厚生労働省令で定める基準は、次のとおりとする。</w:t>
      </w:r>
    </w:p>
    <w:p>
      <w:pPr>
        <w:pStyle w:val="ListBullet"/>
        <w:ind w:left="880"/>
      </w:pPr>
      <w:r>
        <w:t>一</w:t>
        <w:br/>
        <w:t>六・六平方メートル以上の専用の施術室を有すること。</w:t>
      </w:r>
    </w:p>
    <w:p>
      <w:pPr>
        <w:pStyle w:val="ListBullet"/>
        <w:ind w:left="880"/>
      </w:pPr>
      <w:r>
        <w:t>二</w:t>
        <w:br/>
        <w:t>三・三平方メートル以上の待合室を有すること。</w:t>
      </w:r>
    </w:p>
    <w:p>
      <w:pPr>
        <w:pStyle w:val="ListBullet"/>
        <w:ind w:left="880"/>
      </w:pPr>
      <w:r>
        <w:t>三</w:t>
        <w:br/>
        <w:t>施術室は、室面積の七分の一以上に相当する部分を外気に開放し得ること。</w:t>
        <w:br/>
        <w:t>ただし、これに代わるべき適当な換気装置があるときはこの限りでない。</w:t>
      </w:r>
    </w:p>
    <w:p>
      <w:pPr>
        <w:pStyle w:val="ListBullet"/>
        <w:ind w:left="880"/>
      </w:pPr>
      <w:r>
        <w:t>四</w:t>
        <w:br/>
        <w:t>施術に用いる器具、手指等の消毒設備を有すること。</w:t>
      </w:r>
    </w:p>
    <w:p>
      <w:pPr>
        <w:pStyle w:val="Heading4"/>
      </w:pPr>
      <w:r>
        <w:t>第十九条（衛生上必要な措置）</w:t>
      </w:r>
    </w:p>
    <w:p>
      <w:r>
        <w:t>法第二十条第二項の厚生労働省令で定める措置は、次のとおりとする。</w:t>
      </w:r>
    </w:p>
    <w:p>
      <w:pPr>
        <w:pStyle w:val="ListBullet"/>
        <w:ind w:left="880"/>
      </w:pPr>
      <w:r>
        <w:t>一</w:t>
        <w:br/>
        <w:t>常に清潔に保つこと。</w:t>
      </w:r>
    </w:p>
    <w:p>
      <w:pPr>
        <w:pStyle w:val="ListBullet"/>
        <w:ind w:left="880"/>
      </w:pPr>
      <w:r>
        <w:t>二</w:t>
        <w:br/>
        <w:t>採光、照明及び換気を充分にすること。</w:t>
      </w:r>
    </w:p>
    <w:p>
      <w:pPr>
        <w:pStyle w:val="Heading4"/>
      </w:pPr>
      <w:r>
        <w:t>第二十条（身分を示す証明書の様式）</w:t>
      </w:r>
    </w:p>
    <w:p>
      <w:r>
        <w:t>法第二十一条第二項に規定する証明書は、様式第六号による。</w:t>
      </w:r>
    </w:p>
    <w:p>
      <w:r>
        <w:br w:type="page"/>
      </w:r>
    </w:p>
    <w:p>
      <w:pPr>
        <w:pStyle w:val="Heading1"/>
      </w:pPr>
      <w:r>
        <w:t>附　則</w:t>
      </w:r>
    </w:p>
    <w:p>
      <w:pPr>
        <w:pStyle w:val="Heading5"/>
        <w:ind w:left="440"/>
      </w:pPr>
      <w:r>
        <w:t>１</w:t>
      </w:r>
    </w:p>
    <w:p>
      <w:pPr>
        <w:ind w:left="440"/>
      </w:pPr>
      <w:r>
        <w:t>この省令は、平成二年四月一日から施行する。</w:t>
      </w:r>
    </w:p>
    <w:p>
      <w:pPr>
        <w:pStyle w:val="Heading5"/>
        <w:ind w:left="440"/>
      </w:pPr>
      <w:r>
        <w:t>４</w:t>
      </w:r>
    </w:p>
    <w:p>
      <w:pPr>
        <w:ind w:left="440"/>
      </w:pPr>
      <w:r>
        <w:t>法附則第十一項に規定する旧中等学校令（昭和十八年勅令第三十六号）による中等学校（以下「中等学校」という。）を卒業した者と同等以上の学力があると認められる者は、次のとおりとする。</w:t>
      </w:r>
    </w:p>
    <w:p>
      <w:pPr>
        <w:pStyle w:val="ListBullet"/>
        <w:ind w:left="880"/>
      </w:pPr>
      <w:r>
        <w:t>一</w:t>
        <w:br/>
        <w:t>旧国民学校令（昭和十六年勅令第百四十八号）による国民学校（以下「国民学校」という。）初等科修了を入学資格とする修業年限四年の旧中等学校令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七</w:t>
        <w:br/>
        <w:t>旧青年学校令（昭和十四年勅令第二百五十四号）による青年学校本科（修業年限二年のものを除く。）を卒業した者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前各号に掲げる者のほか、厚生労働大臣において、柔道整復師国家試験の受験に関し中等学校の卒業者と同等以上の学力を有するものと指定した者</w:t>
      </w:r>
    </w:p>
    <w:p>
      <w:r>
        <w:br w:type="page"/>
      </w:r>
    </w:p>
    <w:p>
      <w:pPr>
        <w:pStyle w:val="Heading1"/>
      </w:pPr>
      <w:r>
        <w:t>附則（平成四年九月二四日厚生省令第五三号）</w:t>
      </w:r>
    </w:p>
    <w:p>
      <w:r>
        <w:t>この省令は、平成四年十月一日から施行する。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附則（平成一三年七月一三日厚生労働省令第一五八号）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附則（平成一六年三月三〇日厚生労働省令第六八号）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この省令の施行前にこの省令による改正前の柔道整復師法施行規則の規定によりされた申請は、この省令による改正後の柔道整復師法施行規則の相当規定によりされたものとみなす。</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柔道整復師法施行規則</w:t>
      <w:br/>
      <w:tab/>
      <w:t>（平成二年厚生省令第二十号）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柔道整復師法施行規則（平成二年厚生省令第二十号）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