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株式会社海外交通・都市開発事業支援機構法第五条第三項の倍数を定める政令</w:t>
        <w:br/>
        <w:t>（平成二十六年政令第二百三十五号）</w:t>
      </w:r>
    </w:p>
    <w:p>
      <w:r>
        <w:t>株式会社海外交通・都市開発事業支援機構法第五条第三項の政令で定める倍数は、一・五とする。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この政令は、株式会社海外交通・都市開発事業支援機構法の施行の日（平成二十六年七月十七日）から施行する。</w:t>
      </w:r>
    </w:p>
    <w:p>
      <w:r>
        <w:br w:type="page"/>
      </w:r>
    </w:p>
    <w:p>
      <w:pPr>
        <w:pStyle w:val="Heading1"/>
      </w:pPr>
      <w:r>
        <w:t>附　則（平成二八年一〇月二一日政令第三三三号）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株式会社海外交通・都市開発事業支援機構法第五条第三項の倍数を定める政令</w:t>
      <w:br/>
      <w:tab/>
      <w:t>（平成二十六年政令第二百三十五号）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株式会社海外交通・都市開発事業支援機構法第五条第三項の倍数を定める政令（平成二十六年政令第二百三十五号）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