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株式会社海外通信・放送・郵便事業支援機構法第五条第三項の倍数を定める政令</w:t>
        <w:br/>
        <w:t>（平成二十七年政令第三百十二号）</w:t>
      </w:r>
    </w:p>
    <w:p>
      <w:r>
        <w:t>株式会社海外通信・放送・郵便事業支援機構法第五条第三項の政令で定める倍数は、二とする。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この政令は、株式会社海外通信・放送・郵便事業支援機構法の施行の日（平成二十七年九月四日）から施行する。</w:t>
      </w:r>
    </w:p>
    <w:p>
      <w:r>
        <w:br w:type="page"/>
      </w:r>
    </w:p>
    <w:p>
      <w:pPr>
        <w:pStyle w:val="Heading1"/>
      </w:pPr>
      <w:r>
        <w:t>附　則（平成二八年一一月一六日政令第三五〇号）</w:t>
      </w:r>
    </w:p>
    <w:p>
      <w:r>
        <w:t>この政令は、公布の日から施行する。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株式会社海外通信・放送・郵便事業支援機構法第五条第三項の倍数を定める政令</w:t>
      <w:br/>
      <w:tab/>
      <w:t>（平成二十七年政令第三百十二号）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株式会社海外通信・放送・郵便事業支援機構法第五条第三項の倍数を定める政令（平成二十七年政令第三百十二号）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