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株式会社産業再生機構法施行令</w:t>
        <w:br/>
        <w:t>（平成十五年政令第二百四号）</w:t>
      </w:r>
    </w:p>
    <w:p>
      <w:pPr>
        <w:pStyle w:val="Heading4"/>
      </w:pPr>
      <w:r>
        <w:t>第一条（機構の特定関係者）</w:t>
      </w:r>
    </w:p>
    <w:p>
      <w:r>
        <w:t>株式会社産業再生機構法（以下「法」という。）第二十条第一項の規定により読み替えて適用される銀行法第十三条の二に規定する政令で定める特殊の関係のある者は、次に掲げる者とする。</w:t>
      </w:r>
    </w:p>
    <w:p>
      <w:pPr>
        <w:pStyle w:val="ListBullet"/>
        <w:ind w:left="880"/>
      </w:pPr>
      <w:r>
        <w:t>一</w:t>
        <w:br/>
        <w:t>株式会社産業再生機構（以下「機構」という。）の子法人等</w:t>
      </w:r>
    </w:p>
    <w:p>
      <w:pPr>
        <w:pStyle w:val="ListBullet"/>
        <w:ind w:left="880"/>
      </w:pPr>
      <w:r>
        <w:t>二</w:t>
        <w:br/>
        <w:t>機構を子法人等とする親法人等</w:t>
      </w:r>
    </w:p>
    <w:p>
      <w:pPr>
        <w:pStyle w:val="ListBullet"/>
        <w:ind w:left="880"/>
      </w:pPr>
      <w:r>
        <w:t>三</w:t>
        <w:br/>
        <w:t>機構を子法人等とする親法人等の子法人等（機構及び前二号に掲げる者を除く。）</w:t>
      </w:r>
    </w:p>
    <w:p>
      <w:pPr>
        <w:pStyle w:val="ListBullet"/>
        <w:ind w:left="880"/>
      </w:pPr>
      <w:r>
        <w:t>四</w:t>
        <w:br/>
        <w:t>機構の関連法人等</w:t>
      </w:r>
    </w:p>
    <w:p>
      <w:pPr>
        <w:pStyle w:val="ListBullet"/>
        <w:ind w:left="880"/>
      </w:pPr>
      <w:r>
        <w:t>五</w:t>
        <w:br/>
        <w:t>機構を子法人等とする親法人等の関連法人等（前号に掲げる関連法人等を除く。）</w:t>
      </w:r>
    </w:p>
    <w:p>
      <w:pPr>
        <w:pStyle w:val="Heading5"/>
        <w:ind w:left="440"/>
      </w:pPr>
      <w:r>
        <w:t>２</w:t>
      </w:r>
    </w:p>
    <w:p>
      <w:pPr>
        <w:ind w:left="440"/>
      </w:pPr>
      <w:r>
        <w:t>前項に規定する「親法人等」とは、他の法人等（会社、組合その他これらに準ずる事業体（外国におけるこれらに相当するものを含む。）をいう。以下この条において同じ。）の財務及び営業又は事業の方針を決定する機関（株主総会その他これに準ずる機関をいう。以下この項において「意思決定機関」という。）を支配している法人等として主務省令で定めるものをいい、前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３</w:t>
      </w:r>
    </w:p>
    <w:p>
      <w:pPr>
        <w:ind w:left="440"/>
      </w:pPr>
      <w:r>
        <w:t>第一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主務省令で定めるものをいう。</w:t>
      </w:r>
    </w:p>
    <w:p>
      <w:pPr>
        <w:pStyle w:val="Heading4"/>
      </w:pPr>
      <w:r>
        <w:t>第二条（中小企業信用保険法の適用）</w:t>
      </w:r>
    </w:p>
    <w:p>
      <w:r>
        <w:t>機構が法第十九条第一項第一号に掲げる業務を行う場合には、機構を中小企業信用保険法第三条第五項の政令で定める者とする。</w:t>
      </w:r>
    </w:p>
    <w:p>
      <w:pPr>
        <w:pStyle w:val="Heading4"/>
      </w:pPr>
      <w:r>
        <w:t>第三条（機構の借入金及び社債発行の限度額）</w:t>
      </w:r>
    </w:p>
    <w:p>
      <w:r>
        <w:t>法第三十九条第二項に規定する政令で定める金額は、三兆円とする。</w:t>
      </w:r>
    </w:p>
    <w:p>
      <w:pPr>
        <w:pStyle w:val="Heading4"/>
      </w:pPr>
      <w:r>
        <w:t>第四条（預金保険機構の産業再生勘定に係る借入金及び債券発行の限度額）</w:t>
      </w:r>
    </w:p>
    <w:p>
      <w:r>
        <w:t>法第四十九条第三項に規定する政令で定める金額は、千五百億円とする。</w:t>
      </w:r>
    </w:p>
    <w:p>
      <w:pPr>
        <w:pStyle w:val="Heading4"/>
      </w:pPr>
      <w:r>
        <w:t>第五条（主務省令）</w:t>
      </w:r>
    </w:p>
    <w:p>
      <w:r>
        <w:t>この政令における主務省令は、内閣府令・財務省令・経済産業省令とする。</w:t>
      </w:r>
    </w:p>
    <w:p>
      <w:r>
        <w:br w:type="page"/>
      </w:r>
    </w:p>
    <w:p>
      <w:pPr>
        <w:pStyle w:val="Heading1"/>
      </w:pPr>
      <w:r>
        <w:t>附　則</w:t>
      </w:r>
    </w:p>
    <w:p>
      <w:r>
        <w:t>この政令は、法の施行の日（平成十五年四月十日）から施行する。</w:t>
        <w:br/>
        <w:t>ただし、第四条の規定は、公布の日から施行する。</w:t>
      </w:r>
    </w:p>
    <w:p>
      <w:r>
        <w:br w:type="page"/>
      </w:r>
    </w:p>
    <w:p>
      <w:pPr>
        <w:pStyle w:val="Heading1"/>
      </w:pPr>
      <w:r>
        <w:t>附則（平成一八年三月三〇日政令第一〇三号）</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株式会社産業再生機構法施行令</w:t>
      <w:br/>
      <w:tab/>
      <w:t>（平成十五年政令第二百四号）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株式会社産業再生機構法施行令（平成十五年政令第二百四号）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