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核原料物質の使用に関する規則</w:t>
        <w:br/>
        <w:t>（昭和四十三年総理府令第四十六号）</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放射線</w:t>
      </w:r>
    </w:p>
    <w:p>
      <w:pPr>
        <w:pStyle w:val="Heading6"/>
        <w:ind w:left="880"/>
      </w:pPr>
      <w:r>
        <w:t>二</w:t>
      </w:r>
    </w:p>
    <w:p>
      <w:pPr>
        <w:ind w:left="880"/>
      </w:pPr>
      <w:r>
        <w:t>管理区域</w:t>
      </w:r>
    </w:p>
    <w:p>
      <w:pPr>
        <w:pStyle w:val="Heading6"/>
        <w:ind w:left="880"/>
      </w:pPr>
      <w:r>
        <w:t>三</w:t>
      </w:r>
    </w:p>
    <w:p>
      <w:pPr>
        <w:ind w:left="880"/>
      </w:pPr>
      <w:r>
        <w:t>周辺監視区域</w:t>
      </w:r>
    </w:p>
    <w:p>
      <w:pPr>
        <w:pStyle w:val="Heading6"/>
        <w:ind w:left="880"/>
      </w:pPr>
      <w:r>
        <w:t>四</w:t>
      </w:r>
    </w:p>
    <w:p>
      <w:pPr>
        <w:ind w:left="880"/>
      </w:pPr>
      <w:r>
        <w:t>放射線業務従事者</w:t>
      </w:r>
    </w:p>
    <w:p>
      <w:pPr>
        <w:pStyle w:val="Heading6"/>
        <w:ind w:left="880"/>
      </w:pPr>
      <w:r>
        <w:t>五</w:t>
      </w:r>
    </w:p>
    <w:p>
      <w:pPr>
        <w:ind w:left="880"/>
      </w:pPr>
      <w:r>
        <w:t>放射性廃棄物</w:t>
      </w:r>
    </w:p>
    <w:p>
      <w:pPr>
        <w:pStyle w:val="Heading6"/>
        <w:ind w:left="880"/>
      </w:pPr>
      <w:r>
        <w:t>六</w:t>
      </w:r>
    </w:p>
    <w:p>
      <w:pPr>
        <w:ind w:left="880"/>
      </w:pPr>
      <w:r>
        <w:t>オーバーパック</w:t>
      </w:r>
    </w:p>
    <w:p>
      <w:pPr>
        <w:pStyle w:val="Heading4"/>
      </w:pPr>
      <w:r>
        <w:t>第二条（技術上の基準）</w:t>
      </w:r>
    </w:p>
    <w:p>
      <w:r>
        <w:t>核原料物質、核燃料物質及び原子炉の規制に関する法律（昭和三十二年法律第百六十六号。以下「法」という。）第五十七条の七第四項に規定する技術上の基準は、次の各号に掲げるとおりとする。</w:t>
      </w:r>
    </w:p>
    <w:p>
      <w:pPr>
        <w:pStyle w:val="Heading6"/>
        <w:ind w:left="880"/>
      </w:pPr>
      <w:r>
        <w:t>一</w:t>
      </w:r>
    </w:p>
    <w:p>
      <w:pPr>
        <w:ind w:left="880"/>
      </w:pPr>
      <w:r>
        <w:t>核原料物質の使用は、核原料物質の使用施設において行うこと。</w:t>
      </w:r>
    </w:p>
    <w:p>
      <w:pPr>
        <w:pStyle w:val="Heading6"/>
        <w:ind w:left="880"/>
      </w:pPr>
      <w:r>
        <w:t>二</w:t>
      </w:r>
    </w:p>
    <w:p>
      <w:pPr>
        <w:ind w:left="880"/>
      </w:pPr>
      <w:r>
        <w:t>核原料物質の使用施設の目につきやすい場所に、使用上の注意事項を掲示すること。</w:t>
      </w:r>
    </w:p>
    <w:p>
      <w:pPr>
        <w:pStyle w:val="Heading6"/>
        <w:ind w:left="880"/>
      </w:pPr>
      <w:r>
        <w:t>三</w:t>
      </w:r>
    </w:p>
    <w:p>
      <w:pPr>
        <w:ind w:left="880"/>
      </w:pPr>
      <w:r>
        <w:t>管理区域を設定し、かつ、当該区域においては、次の措置を講ずること。</w:t>
      </w:r>
    </w:p>
    <w:p>
      <w:pPr>
        <w:pStyle w:val="Heading6"/>
        <w:ind w:left="880"/>
      </w:pPr>
      <w:r>
        <w:t>四</w:t>
      </w:r>
    </w:p>
    <w:p>
      <w:pPr>
        <w:ind w:left="880"/>
      </w:pPr>
      <w:r>
        <w:t>周辺監視区域を設定し、かつ、当該区域においては、次の措置を講ずること。</w:t>
      </w:r>
    </w:p>
    <w:p>
      <w:pPr>
        <w:pStyle w:val="Heading6"/>
        <w:ind w:left="880"/>
      </w:pPr>
      <w:r>
        <w:t>五</w:t>
      </w:r>
    </w:p>
    <w:p>
      <w:pPr>
        <w:ind w:left="880"/>
      </w:pPr>
      <w:r>
        <w:t>放射線業務従事者の線量等については、次の措置を講ずること。</w:t>
      </w:r>
    </w:p>
    <w:p>
      <w:pPr>
        <w:pStyle w:val="Heading6"/>
        <w:ind w:left="880"/>
      </w:pPr>
      <w:r>
        <w:t>六</w:t>
      </w:r>
    </w:p>
    <w:p>
      <w:pPr>
        <w:ind w:left="880"/>
      </w:pPr>
      <w:r>
        <w:t>管理区域及び周辺監視区域における線量当量率並びに管理区域における放射性物質による汚染の状況の測定は、これらを知るため最も適した箇所において、かつ、放射線測定器を用いて行うこと。</w:t>
      </w:r>
    </w:p>
    <w:p>
      <w:pPr>
        <w:pStyle w:val="Heading6"/>
        <w:ind w:left="880"/>
      </w:pPr>
      <w:r>
        <w:t>七</w:t>
      </w:r>
    </w:p>
    <w:p>
      <w:pPr>
        <w:ind w:left="880"/>
      </w:pPr>
      <w:r>
        <w:t>放射線業務従事者の線量の測定は、次に定めるところにより行うこと。</w:t>
      </w:r>
    </w:p>
    <w:p>
      <w:pPr>
        <w:pStyle w:val="Heading6"/>
        <w:ind w:left="880"/>
      </w:pPr>
      <w:r>
        <w:t>八</w:t>
      </w:r>
    </w:p>
    <w:p>
      <w:pPr>
        <w:ind w:left="880"/>
      </w:pPr>
      <w:r>
        <w:t>放射性物質による人体及び人体に着用している物の表面の汚染の状況の測定は、放射性物質によつて汚染されるおそれのある人体部位の表面及び人体に着用している物の表面であつて放射性物質によつて汚染されるおそれのある部分について、放射線測定器を用いて行うこと。</w:t>
      </w:r>
    </w:p>
    <w:p>
      <w:pPr>
        <w:pStyle w:val="Heading6"/>
        <w:ind w:left="880"/>
      </w:pPr>
      <w:r>
        <w:t>九</w:t>
      </w:r>
    </w:p>
    <w:p>
      <w:pPr>
        <w:ind w:left="880"/>
      </w:pPr>
      <w:r>
        <w:t>前号の測定は、放射性物質を経口摂取するおそれのある場所において、当該場所から人が退出するときに行うこと。</w:t>
      </w:r>
    </w:p>
    <w:p>
      <w:pPr>
        <w:pStyle w:val="Heading6"/>
        <w:ind w:left="880"/>
      </w:pPr>
      <w:r>
        <w:t>十</w:t>
      </w:r>
    </w:p>
    <w:p>
      <w:pPr>
        <w:ind w:left="880"/>
      </w:pPr>
      <w:r>
        <w:t>換気設備、放射線測定器及び非常用設備は、常にこれらの機能を発揮できる状態に維持しておくこと。</w:t>
      </w:r>
    </w:p>
    <w:p>
      <w:pPr>
        <w:pStyle w:val="Heading6"/>
        <w:ind w:left="880"/>
      </w:pPr>
      <w:r>
        <w:t>十一</w:t>
      </w:r>
    </w:p>
    <w:p>
      <w:pPr>
        <w:ind w:left="880"/>
      </w:pPr>
      <w:r>
        <w:t>核原料物質の使用施設を設置した工場又は事業所において行われる放射性廃棄物の廃棄は、次に定めるところにより行うこと。</w:t>
      </w:r>
    </w:p>
    <w:p>
      <w:pPr>
        <w:pStyle w:val="Heading6"/>
        <w:ind w:left="880"/>
      </w:pPr>
      <w:r>
        <w:t>十一の二</w:t>
      </w:r>
    </w:p>
    <w:p>
      <w:pPr>
        <w:ind w:left="880"/>
      </w:pPr>
      <w:r>
        <w:t>核原料物質の使用施設を設置した工場又は事業所の外において行われる放射性廃棄物の廃棄は、次に定めるところにより行うこと。</w:t>
      </w:r>
    </w:p>
    <w:p>
      <w:pPr>
        <w:pStyle w:val="Heading6"/>
        <w:ind w:left="880"/>
      </w:pPr>
      <w:r>
        <w:t>十二</w:t>
      </w:r>
    </w:p>
    <w:p>
      <w:pPr>
        <w:ind w:left="880"/>
      </w:pPr>
      <w:r>
        <w:t>核原料物質の運搬は、次に定めるところにより行うこと。</w:t>
      </w:r>
    </w:p>
    <w:p>
      <w:pPr>
        <w:pStyle w:val="Heading6"/>
        <w:ind w:left="880"/>
      </w:pPr>
      <w:r>
        <w:t>十三</w:t>
      </w:r>
    </w:p>
    <w:p>
      <w:pPr>
        <w:ind w:left="880"/>
      </w:pPr>
      <w:r>
        <w:t>核原料物質の貯蔵は、次に定めるところにより行うこと。</w:t>
      </w:r>
    </w:p>
    <w:p>
      <w:pPr>
        <w:pStyle w:val="Heading4"/>
      </w:pPr>
      <w:r>
        <w:t>第三条（記録）</w:t>
      </w:r>
    </w:p>
    <w:p>
      <w:r>
        <w:t>法第五十七条の七第六項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第一項の表第二号ロの線量当量率並びに同号ハ及びニの線量は、それぞれ原子力規制委員会の定めるところにより記録するものとする。</w:t>
      </w:r>
    </w:p>
    <w:p>
      <w:pPr>
        <w:pStyle w:val="Heading5"/>
        <w:ind w:left="440"/>
      </w:pPr>
      <w:r>
        <w:t>４</w:t>
      </w:r>
    </w:p>
    <w:p>
      <w:pPr>
        <w:ind w:left="440"/>
      </w:pPr>
      <w:r>
        <w:t>第一項の表第二号ハ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ホまでの記録の保存期間は、その記録に係る者が放射線業務従事者でなくなつた場合又はその記録を保存している期間が五年を超えた場合において核原料物質使用者がその記録を原子力規制委員会の指定する機関に引き渡すまでの期間とする。</w:t>
      </w:r>
    </w:p>
    <w:p>
      <w:pPr>
        <w:pStyle w:val="Heading5"/>
        <w:ind w:left="440"/>
      </w:pPr>
      <w:r>
        <w:t>６</w:t>
      </w:r>
    </w:p>
    <w:p>
      <w:pPr>
        <w:ind w:left="440"/>
      </w:pPr>
      <w:r>
        <w:t>核原料物質使用者は、第一項の表第二号ハの記録に係る放射線業務従事者に、その記録の写しをその者が当該業務を離れるときに交付しなければならない。</w:t>
      </w:r>
    </w:p>
    <w:p>
      <w:pPr>
        <w:pStyle w:val="Heading5"/>
        <w:ind w:left="440"/>
      </w:pPr>
      <w:r>
        <w:t>７</w:t>
      </w:r>
    </w:p>
    <w:p>
      <w:pPr>
        <w:ind w:left="440"/>
      </w:pPr>
      <w:r>
        <w:t>第五項の原子力規制委員会の指定する機関に関し必要な事項は、別に原子力規制委員会規則で定める。</w:t>
      </w:r>
    </w:p>
    <w:p>
      <w:pPr>
        <w:pStyle w:val="Heading4"/>
      </w:pPr>
      <w:r>
        <w:t>第三条の二（電磁的方法による保存）</w:t>
      </w:r>
    </w:p>
    <w:p>
      <w:r>
        <w:t>法第五十七条の七第六項に規定する記録は、前条第一項の表の上覧に掲げる事項について、それぞれ同表中欄に掲げるところに従つて、電磁的方法（電子的方法、磁気的方法その他の人の知覚によつて認識することができない方法をいう。第九条において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第三条の三（準用）</w:t>
      </w:r>
    </w:p>
    <w:p>
      <w:r>
        <w:t>前二条の規定は、法第六十一条の七の規定による国際規制物資使用者等の記録について準用する。</w:t>
      </w:r>
    </w:p>
    <w:p>
      <w:pPr>
        <w:pStyle w:val="Heading4"/>
      </w:pPr>
      <w:r>
        <w:t>第三条の四（使用の廃止の届出）</w:t>
      </w:r>
    </w:p>
    <w:p>
      <w:r>
        <w:t>法第五十七条の七第七項の規定により、核原料物質使用者が当該届出に係る核原料物質の全ての使用を廃止したときは、その廃止の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廃止に係る工場又は事業所の名称及び所在地</w:t>
      </w:r>
    </w:p>
    <w:p>
      <w:pPr>
        <w:pStyle w:val="Heading6"/>
        <w:ind w:left="880"/>
      </w:pPr>
      <w:r>
        <w:t>三</w:t>
      </w:r>
    </w:p>
    <w:p>
      <w:pPr>
        <w:ind w:left="880"/>
      </w:pPr>
      <w:r>
        <w:t>使用の届出の年月日</w:t>
      </w:r>
    </w:p>
    <w:p>
      <w:pPr>
        <w:pStyle w:val="Heading6"/>
        <w:ind w:left="880"/>
      </w:pPr>
      <w:r>
        <w:t>四</w:t>
      </w:r>
    </w:p>
    <w:p>
      <w:pPr>
        <w:ind w:left="880"/>
      </w:pPr>
      <w:r>
        <w:t>廃止の年月日</w:t>
      </w:r>
    </w:p>
    <w:p>
      <w:pPr>
        <w:pStyle w:val="Heading6"/>
        <w:ind w:left="880"/>
      </w:pPr>
      <w:r>
        <w:t>五</w:t>
      </w:r>
    </w:p>
    <w:p>
      <w:pPr>
        <w:ind w:left="880"/>
      </w:pPr>
      <w:r>
        <w:t>廃止の理由</w:t>
      </w:r>
    </w:p>
    <w:p>
      <w:pPr>
        <w:pStyle w:val="Heading5"/>
        <w:ind w:left="440"/>
      </w:pPr>
      <w:r>
        <w:t>２</w:t>
      </w:r>
    </w:p>
    <w:p>
      <w:pPr>
        <w:ind w:left="440"/>
      </w:pPr>
      <w:r>
        <w:t>前項の届出に係る書類の提出部数は、正本及び写し各一通とする。</w:t>
      </w:r>
    </w:p>
    <w:p>
      <w:pPr>
        <w:pStyle w:val="Heading4"/>
      </w:pPr>
      <w:r>
        <w:t>第四条（解散等の届出）</w:t>
      </w:r>
    </w:p>
    <w:p>
      <w:r>
        <w:t>法第五十七条の七第八項の規定により、核原料物質使用者が解散し、又は死亡したときは、その清算人、破産管財人若しくは合併後存続し、若しくは合併により設立された法人の代表者若しくは分割により核原料物質の使用に係る施設若しくは核原料物質を承継した法人の代表者又は相続人若しくは相続人に代わつて相続財産を管理する者は、解散又は死亡の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解散又は死亡に係る工場又は事業所の名称及び所在地</w:t>
      </w:r>
    </w:p>
    <w:p>
      <w:pPr>
        <w:pStyle w:val="Heading6"/>
        <w:ind w:left="880"/>
      </w:pPr>
      <w:r>
        <w:t>三</w:t>
      </w:r>
    </w:p>
    <w:p>
      <w:pPr>
        <w:ind w:left="880"/>
      </w:pPr>
      <w:r>
        <w:t>核原料物質使用者が解散し又は死亡した年月日</w:t>
      </w:r>
    </w:p>
    <w:p>
      <w:pPr>
        <w:pStyle w:val="Heading6"/>
        <w:ind w:left="880"/>
      </w:pPr>
      <w:r>
        <w:t>四</w:t>
      </w:r>
    </w:p>
    <w:p>
      <w:pPr>
        <w:ind w:left="880"/>
      </w:pPr>
      <w:r>
        <w:t>解散の理由</w:t>
      </w:r>
    </w:p>
    <w:p>
      <w:pPr>
        <w:pStyle w:val="Heading5"/>
        <w:ind w:left="440"/>
      </w:pPr>
      <w:r>
        <w:t>２</w:t>
      </w:r>
    </w:p>
    <w:p>
      <w:pPr>
        <w:ind w:left="440"/>
      </w:pPr>
      <w:r>
        <w:t>前項の届出に係る書類の提出部数は、正本及び写し各一通とする。</w:t>
      </w:r>
    </w:p>
    <w:p>
      <w:pPr>
        <w:pStyle w:val="Heading4"/>
      </w:pPr>
      <w:r>
        <w:t>第五条（事故故障等の報告）</w:t>
      </w:r>
    </w:p>
    <w:p>
      <w:r>
        <w:t>法第六十二条の三の規定により、核原料物質使用者は、次の各号のいずれかに該当するときは、その旨を直ちに、その状況及びそれに対する処置を十日以内に原子力規制委員会に報告しなければならない。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核原料物質の盗取又は所在不明が生じたとき。</w:t>
      </w:r>
    </w:p>
    <w:p>
      <w:pPr>
        <w:pStyle w:val="Heading6"/>
        <w:ind w:left="880"/>
      </w:pPr>
      <w:r>
        <w:t>二</w:t>
      </w:r>
    </w:p>
    <w:p>
      <w:pPr>
        <w:ind w:left="880"/>
      </w:pPr>
      <w:r>
        <w:t>核原料物質の使用施設の故障（核原料物質の使用に及ぼす支障が軽微なものを除く。）があつたとき。</w:t>
      </w:r>
    </w:p>
    <w:p>
      <w:pPr>
        <w:pStyle w:val="Heading6"/>
        <w:ind w:left="880"/>
      </w:pPr>
      <w:r>
        <w:t>三</w:t>
      </w:r>
    </w:p>
    <w:p>
      <w:pPr>
        <w:ind w:left="880"/>
      </w:pPr>
      <w:r>
        <w:t>核原料物質又は核原料物質によつて汚染された物が異常に漏えいしたとき。</w:t>
      </w:r>
    </w:p>
    <w:p>
      <w:pPr>
        <w:pStyle w:val="Heading6"/>
        <w:ind w:left="880"/>
      </w:pPr>
      <w:r>
        <w:t>四</w:t>
      </w:r>
    </w:p>
    <w:p>
      <w:pPr>
        <w:ind w:left="880"/>
      </w:pPr>
      <w:r>
        <w:t>放射線業務従事者について第二条第五号イの線量限度を超え、又は超えるおそれのある被ばくがあつたとき。</w:t>
      </w:r>
    </w:p>
    <w:p>
      <w:pPr>
        <w:pStyle w:val="Heading6"/>
        <w:ind w:left="880"/>
      </w:pPr>
      <w:r>
        <w:t>五</w:t>
      </w:r>
    </w:p>
    <w:p>
      <w:pPr>
        <w:ind w:left="880"/>
      </w:pPr>
      <w:r>
        <w:t>前各号のほか、核原料物質の使用施設に関し人の障害（放射線障害以外の障害であつて軽微なものを除く。）が発生し、又は発生するおそれがあるとき。</w:t>
      </w:r>
    </w:p>
    <w:p>
      <w:pPr>
        <w:pStyle w:val="Heading5"/>
        <w:ind w:left="440"/>
      </w:pPr>
      <w:r>
        <w:t>２</w:t>
      </w:r>
    </w:p>
    <w:p>
      <w:pPr>
        <w:ind w:left="440"/>
      </w:pPr>
      <w:r>
        <w:t>核原料物質使用者は、工場又は事業所の外において放射性廃棄物を廃棄する場合であつて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放射性廃棄物により異常な汚染が生じたとき。</w:t>
      </w:r>
    </w:p>
    <w:p>
      <w:pPr>
        <w:pStyle w:val="Heading6"/>
        <w:ind w:left="880"/>
      </w:pPr>
      <w:r>
        <w:t>二</w:t>
      </w:r>
    </w:p>
    <w:p>
      <w:pPr>
        <w:ind w:left="880"/>
      </w:pPr>
      <w:r>
        <w:t>廃棄に従事する者について第二条第十一号の二ハの線量限度を超え、又は超えるおそれのある被ばくがあつたとき。</w:t>
      </w:r>
    </w:p>
    <w:p>
      <w:pPr>
        <w:pStyle w:val="Heading6"/>
        <w:ind w:left="880"/>
      </w:pPr>
      <w:r>
        <w:t>三</w:t>
      </w:r>
    </w:p>
    <w:p>
      <w:pPr>
        <w:ind w:left="880"/>
      </w:pPr>
      <w:r>
        <w:t>前二号のほか、廃棄に関し人の障害（放射線障害以外の障害であつて軽微なものを除く。）が発生し、又は発生するおそれがあるとき。</w:t>
      </w:r>
    </w:p>
    <w:p>
      <w:pPr>
        <w:pStyle w:val="Heading4"/>
      </w:pPr>
      <w:r>
        <w:t>第六条（報告の徴収）</w:t>
      </w:r>
    </w:p>
    <w:p>
      <w:r>
        <w:t>核原料物質使用者は、毎年、工場又は事業所ごとに、六月三十日及び十二月三十一日における核原料物質の在庫量について、別記様式第一による報告書を作成し、それぞれ当該期日後一月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第七条（準用）</w:t>
      </w:r>
    </w:p>
    <w:p>
      <w:r>
        <w:t>前二条の規定は、国際規制物資使用者等について準用する。</w:t>
      </w:r>
    </w:p>
    <w:p>
      <w:pPr>
        <w:pStyle w:val="Heading4"/>
      </w:pPr>
      <w:r>
        <w:t>第八条（届出書類の提出部数）</w:t>
      </w:r>
    </w:p>
    <w:p>
      <w:r>
        <w:t>法第五十七条の七第一項及び核原料物質、核燃料物質及び原子炉の規制に関する法律施行令（昭和三十二年政令第三百二十四号）第四十五条の規定に係る書類の提出部数は、正本及び写し各一通とする。</w:t>
      </w:r>
    </w:p>
    <w:p>
      <w:pPr>
        <w:pStyle w:val="Heading4"/>
      </w:pPr>
      <w:r>
        <w:t>第九条（電磁的記録媒体による手続）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以下同じ。）及び別記様式第二の電磁的記録媒体提出票を提出することにより行うことができる。</w:t>
      </w:r>
    </w:p>
    <w:p>
      <w:pPr>
        <w:pStyle w:val="Heading6"/>
        <w:ind w:left="880"/>
      </w:pPr>
      <w:r>
        <w:t>一</w:t>
      </w:r>
    </w:p>
    <w:p>
      <w:pPr>
        <w:ind w:left="880"/>
      </w:pPr>
      <w:r>
        <w:t>第三条の四第一項の書類</w:t>
      </w:r>
    </w:p>
    <w:p>
      <w:pPr>
        <w:pStyle w:val="Heading6"/>
        <w:ind w:left="880"/>
      </w:pPr>
      <w:r>
        <w:t>二</w:t>
      </w:r>
    </w:p>
    <w:p>
      <w:pPr>
        <w:ind w:left="880"/>
      </w:pPr>
      <w:r>
        <w:t>第四条第一項の書類</w:t>
      </w:r>
    </w:p>
    <w:p>
      <w:r>
        <w:br w:type="page"/>
      </w:r>
    </w:p>
    <w:p>
      <w:pPr>
        <w:pStyle w:val="Heading1"/>
      </w:pPr>
      <w:r>
        <w:t>附　則</w:t>
      </w:r>
    </w:p>
    <w:p>
      <w:r>
        <w:t>この府令は、公布の日から施行する。</w:t>
      </w:r>
    </w:p>
    <w:p>
      <w:r>
        <w:br w:type="page"/>
      </w:r>
    </w:p>
    <w:p>
      <w:pPr>
        <w:pStyle w:val="Heading1"/>
      </w:pPr>
      <w:r>
        <w:t>附　則（昭和五三年一二月二八日総理府令第五五号）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則（昭和六一年一一月二六日総理府令第六一号）</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則（昭和六三年一一月七日総理府令第四七号）</w:t>
      </w:r>
    </w:p>
    <w:p>
      <w:pPr>
        <w:pStyle w:val="Heading4"/>
      </w:pPr>
      <w:r>
        <w:t>第一条（施行期日）</w:t>
      </w:r>
    </w:p>
    <w:p>
      <w:r>
        <w:t>この府令は、公布の日から施行する。</w:t>
      </w:r>
    </w:p>
    <w:p>
      <w:r>
        <w:br w:type="page"/>
      </w:r>
    </w:p>
    <w:p>
      <w:pPr>
        <w:pStyle w:val="Heading1"/>
      </w:pPr>
      <w:r>
        <w:t>附　則（平成二年一一月二八日総理府令第五六号）</w:t>
      </w:r>
    </w:p>
    <w:p>
      <w:r>
        <w:t>この府令は、平成三年一月一日から施行する。</w:t>
      </w:r>
    </w:p>
    <w:p>
      <w:pPr>
        <w:pStyle w:val="Heading5"/>
        <w:ind w:left="440"/>
      </w:pPr>
      <w:r>
        <w:t>３</w:t>
      </w:r>
    </w:p>
    <w:p>
      <w:pPr>
        <w:ind w:left="440"/>
      </w:pPr>
      <w:r>
        <w:t>この府令の施行の際現に運搬されている核燃料物質等については、当該運搬が終了するまでは、なお従前の例による。</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則（平成一二年一二月二六日総理府令第一五一号）</w:t>
      </w:r>
    </w:p>
    <w:p>
      <w:r>
        <w:t>この府令は、平成十三年四月一日から施行する。</w:t>
      </w:r>
    </w:p>
    <w:p>
      <w:r>
        <w:br w:type="page"/>
      </w:r>
    </w:p>
    <w:p>
      <w:pPr>
        <w:pStyle w:val="Heading1"/>
      </w:pPr>
      <w:r>
        <w:t>附　則（平成一三年六月一五日文部科学省令第七二号）</w:t>
      </w:r>
    </w:p>
    <w:p>
      <w:r>
        <w:t>この省令は、平成十三年七月一日から施行する。</w:t>
      </w:r>
    </w:p>
    <w:p>
      <w:pPr>
        <w:pStyle w:val="Heading5"/>
        <w:ind w:left="440"/>
      </w:pPr>
      <w:r>
        <w:t>２</w:t>
      </w:r>
    </w:p>
    <w:p>
      <w:pPr>
        <w:ind w:left="440"/>
      </w:pPr>
      <w:r>
        <w:t>この省令の施行の際現に運搬されている核原料物質については、当該運搬が終了するまでは、なお従前の例による。</w:t>
      </w:r>
    </w:p>
    <w:p>
      <w:r>
        <w:br w:type="page"/>
      </w:r>
    </w:p>
    <w:p>
      <w:pPr>
        <w:pStyle w:val="Heading1"/>
      </w:pPr>
      <w:r>
        <w:t>附　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則（平成一五年九月三〇日文部科学省令第四四号）</w:t>
      </w:r>
    </w:p>
    <w:p>
      <w:r>
        <w:t>この省令は、平成十五年十月一日から施行する。</w:t>
      </w:r>
    </w:p>
    <w:p>
      <w:r>
        <w:br w:type="page"/>
      </w:r>
    </w:p>
    <w:p>
      <w:pPr>
        <w:pStyle w:val="Heading1"/>
      </w:pPr>
      <w:r>
        <w:t>附　則（平成一七年一一月三〇日文部科学省令第五五号）</w:t>
      </w:r>
    </w:p>
    <w:p>
      <w:r>
        <w:t>この省令は、核原料物質、核燃料物質及び原子炉の規制に関する法律の一部を改正する法律の施行の日（平成十七年十二月一日）から施行する。</w:t>
      </w:r>
    </w:p>
    <w:p>
      <w:r>
        <w:br w:type="page"/>
      </w:r>
    </w:p>
    <w:p>
      <w:pPr>
        <w:pStyle w:val="Heading1"/>
      </w:pPr>
      <w:r>
        <w:t>附　則（平成一八年一二月二六日文部科学省令第四〇号）</w:t>
      </w:r>
    </w:p>
    <w:p>
      <w:r>
        <w:t>この省令は、平成十九年一月一日から施行する。</w:t>
      </w:r>
    </w:p>
    <w:p>
      <w:r>
        <w:br w:type="page"/>
      </w:r>
    </w:p>
    <w:p>
      <w:pPr>
        <w:pStyle w:val="Heading1"/>
      </w:pPr>
      <w:r>
        <w:t>附　則（平成二一年三月三一日文部科学省令第一一号）</w:t>
      </w:r>
    </w:p>
    <w:p>
      <w:r>
        <w:t>この省令は、公布の日から施行する。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p>
      <w:r>
        <w:br w:type="page"/>
      </w:r>
    </w:p>
    <w:p>
      <w:pPr>
        <w:pStyle w:val="Heading1"/>
      </w:pPr>
      <w:r>
        <w:t>附　則（令和二年一二月一七日原子力規制委員会規則第二〇号）</w:t>
      </w:r>
    </w:p>
    <w:p>
      <w:pPr>
        <w:pStyle w:val="Heading4"/>
      </w:pPr>
      <w:r>
        <w:t>第一条（施行期日）</w:t>
      </w:r>
    </w:p>
    <w:p>
      <w:r>
        <w:t>この規則は、令和三年一月一日から施行する。</w:t>
      </w:r>
    </w:p>
    <w:p>
      <w:pPr>
        <w:pStyle w:val="Heading4"/>
      </w:pPr>
      <w:r>
        <w:t>第二条（経過措置）</w:t>
      </w:r>
    </w:p>
    <w:p>
      <w:r>
        <w:t>この規則の施行の日前にされた核原料物質、核燃料物質及び原子炉の規制に関する法律第五十九条第二項の確認又は同条第三項若しくはこの規則による改正前の核燃料物質等の工場又は事業所の外における運搬に関する規則第二十一条第二項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第三条</w:t>
      </w:r>
    </w:p>
    <w:p>
      <w:r>
        <w:t>この規則の施行の際現に放射性同位元素等の規制に関する法律第十二条の二第一項又は第二項の認証を受けている放射性同位元素装備機器は、この規則による改正後の放射性同位元素等の規制に関する法律施行規則第十四条の三第二項第五号に掲げる技術上の基準に適合したものとみなす。</w:t>
      </w:r>
    </w:p>
    <w:p>
      <w:pPr>
        <w:pStyle w:val="Heading4"/>
      </w:pPr>
      <w:r>
        <w:t>第四条</w:t>
      </w:r>
    </w:p>
    <w:p>
      <w:r>
        <w:t>この規則の施行の日前にされた放射性同位元素等の規制に関する法律第十八条第二項（同法第二十五条の五の規定により読み替えて適用する場合を含む。）の確認又は同法第十八条第三項（同法第二十五条の五の規定により読み替えて適用する場合を含む。）若しくはこの規則による改正前の放射性同位元素等の規制に関する法律施行規則第十八条の十七第四項（同規則第二十四条の二の七の規定により読み替えて適用する場合を含む。）の承認（承認の更新を含む。以下この条において同じ。）の申請であって、この規則の施行の際確認又は承認をするかどうかの処分がされていないものについての処分については、なお従前の例による。</w:t>
      </w:r>
    </w:p>
    <w:p>
      <w:pPr>
        <w:pStyle w:val="Heading4"/>
      </w:pPr>
      <w:r>
        <w:t>第五条</w:t>
      </w:r>
    </w:p>
    <w:p>
      <w:r>
        <w:t>この規則の施行の際現に運搬されている核原料物質、核燃料物質等及び放射性同位元素等については、当該運搬が終了するまでは、なお従前の例による。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核原料物質の使用に関する規則</w:t>
      <w:br/>
      <w:tab/>
      <w:t>（昭和四十三年総理府令第四十六号）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核原料物質の使用に関する規則（昭和四十三年総理府令第四十六号）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