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核原料物質又は核燃料物質の製錬の事業に関する規則</w:t>
        <w:br/>
        <w:t>（昭和三十二年総理府・通商産業省令第一号）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管理区域」とは、製錬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三</w:t>
        <w:b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四</w:t>
        <w:br/>
        <w:t>「放射線業務従事者」とは、製錬の業務に従事する者であつて、管理区域に立ち入るものをいう。</w:t>
      </w:r>
    </w:p>
    <w:p>
      <w:pPr>
        <w:pStyle w:val="ListBullet"/>
        <w:ind w:left="880"/>
      </w:pPr>
      <w:r>
        <w:t>五</w:t>
        <w:br/>
        <w:t>「保安活動」とは、原子力施設の保安のための業務に係る品質管理に必要な体制の基準に関する規則（令和二元年原子力規制委員会規則第二号。以下「品質管理基準規則」という。）第二条第二項第一号に規定する保安活動をいう。</w:t>
      </w:r>
    </w:p>
    <w:p>
      <w:pPr>
        <w:pStyle w:val="ListBullet"/>
        <w:ind w:left="880"/>
      </w:pPr>
      <w:r>
        <w:t>六</w:t>
        <w:br/>
        <w:t>「品質マネジメントシステム」とは、品質管理基準規則第二条第二項第四号に規定する品質マネジメントシステムをいう。</w:t>
      </w:r>
    </w:p>
    <w:p>
      <w:pPr>
        <w:pStyle w:val="ListBullet"/>
        <w:ind w:left="880"/>
      </w:pPr>
      <w:r>
        <w:t>七</w:t>
        <w:br/>
        <w:t>「廃止措置対象施設」とは、法第十二条の六第二項の認可を受けた廃止措置計画（同条第三項又は第五項の規定による認可又は届出があつたときは、その変更後のもの）に係る廃止措置の対象となる製錬施設をいう。</w:t>
      </w:r>
    </w:p>
    <w:p>
      <w:pPr>
        <w:pStyle w:val="Heading4"/>
      </w:pPr>
      <w:r>
        <w:t>第一条の二（製錬の事業の指定の申請）</w:t>
      </w:r>
    </w:p>
    <w:p>
      <w:r>
        <w:t>法第三条第二項の製錬の事業の指定の申請書の記載については、次の各号によるものとする。</w:t>
      </w:r>
    </w:p>
    <w:p>
      <w:pPr>
        <w:pStyle w:val="ListBullet"/>
        <w:ind w:left="880"/>
      </w:pPr>
      <w:r>
        <w:t>一</w:t>
        <w:br/>
        <w:t>法第三条第二項第三号及び第四号の製錬施設については、次の区分によつて記載すること。</w:t>
      </w:r>
    </w:p>
    <w:p>
      <w:pPr>
        <w:pStyle w:val="ListBullet"/>
        <w:ind w:left="880"/>
      </w:pPr>
      <w:r>
        <w:t>二</w:t>
        <w:br/>
        <w:t>法第三条第二項第三号の製錬の方法については、系統図によつて記載すること。</w:t>
      </w:r>
    </w:p>
    <w:p>
      <w:pPr>
        <w:pStyle w:val="ListBullet"/>
        <w:ind w:left="880"/>
      </w:pPr>
      <w:r>
        <w:t>三</w:t>
        <w:br/>
        <w:t>法第三条第二項第四号の工事計画については、工事の順序及び日程を記載すること。</w:t>
      </w:r>
    </w:p>
    <w:p>
      <w:pPr>
        <w:pStyle w:val="ListBullet"/>
        <w:ind w:left="880"/>
      </w:pPr>
      <w:r>
        <w:t>四</w:t>
        <w:br/>
        <w:t>法第三条第二項第五号の製錬施設の保安のための業務に係る品質管理に必要な体制の整備に関する事項については、保安活動の計画、実施、評価及び改善に関する事項を記載すること。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四条第二項に規定する事業計画書その他原子力規制委員会規則で定める書類は、次の各号に掲げるとおりとする。</w:t>
      </w:r>
    </w:p>
    <w:p>
      <w:pPr>
        <w:pStyle w:val="ListBullet"/>
        <w:ind w:left="880"/>
      </w:pPr>
      <w:r>
        <w:t>一</w:t>
        <w:br/>
        <w:t>次の事項を記載した事業計画書</w:t>
      </w:r>
    </w:p>
    <w:p>
      <w:pPr>
        <w:pStyle w:val="ListBullet"/>
        <w:ind w:left="880"/>
      </w:pPr>
      <w:r>
        <w:t>二</w:t>
        <w:br/>
        <w:t>申請者の技術的能力に関する説明書</w:t>
      </w:r>
    </w:p>
    <w:p>
      <w:pPr>
        <w:pStyle w:val="ListBullet"/>
        <w:ind w:left="880"/>
      </w:pPr>
      <w:r>
        <w:t>三</w:t>
        <w:br/>
        <w:t>製錬施設に関する核原料物質又は核燃料物質による災害の防止に関する説明書</w:t>
      </w:r>
    </w:p>
    <w:p>
      <w:pPr>
        <w:pStyle w:val="ListBullet"/>
        <w:ind w:left="880"/>
      </w:pPr>
      <w:r>
        <w:t>四</w:t>
        <w:br/>
        <w:t>製錬施設の保安のための業務に係る品質管理に必要な体制の整備に関する説明書</w:t>
      </w:r>
    </w:p>
    <w:p>
      <w:pPr>
        <w:pStyle w:val="ListBullet"/>
        <w:ind w:left="880"/>
      </w:pPr>
      <w:r>
        <w:t>五</w:t>
        <w:br/>
        <w:t>現に事業を行つている場合にあつては、その事業の概要に関する説明書</w:t>
      </w:r>
    </w:p>
    <w:p>
      <w:pPr>
        <w:pStyle w:val="ListBullet"/>
        <w:ind w:left="880"/>
      </w:pPr>
      <w:r>
        <w:t>六</w:t>
        <w:br/>
        <w:t>法人にあつては、定款、登記事項証明書並びに最近の財産目録、貸借対照表及び損益計算書</w:t>
      </w:r>
    </w:p>
    <w:p>
      <w:pPr>
        <w:pStyle w:val="ListBullet"/>
        <w:ind w:left="880"/>
      </w:pPr>
      <w:r>
        <w:t>七</w:t>
        <w:br/>
        <w:t>法第三条第一項の指定を受けようとする者（法人にあつては、その業務を行う役員）に係る精神の機能の障害に関する医師の診断書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三条第一項の指定を受けようとする者が法人である場合であつて、原子力規制委員会がその役員の職務内容から判断して業務に支障がないと認めたときは、第二項第六号に掲げる診断書に代えて当該役員が法第五条第三号に該当しないことを疎明する書類を提出することができる。</w:t>
      </w:r>
    </w:p>
    <w:p>
      <w:pPr>
        <w:pStyle w:val="Heading4"/>
      </w:pPr>
      <w:r>
        <w:t>第一条の三（法第五条第三号の原子力規制委員会規則で定める者）</w:t>
      </w:r>
    </w:p>
    <w:p>
      <w:r>
        <w:t>法第五条第三号の原子力規制委員会規則で定める者は、精神の機能の障害により、業務を適正に行うに当たつて必要な認知、判断及び意思疎通を適切に行うことができない者とする。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第二条（変更の許可の申請）</w:t>
      </w:r>
    </w:p>
    <w:p>
      <w:r>
        <w:t>令第五条の変更の許可の申請書の記載については、次の各号によるものとする。</w:t>
      </w:r>
    </w:p>
    <w:p>
      <w:pPr>
        <w:pStyle w:val="ListBullet"/>
        <w:ind w:left="880"/>
      </w:pPr>
      <w:r>
        <w:t>一</w:t>
        <w:br/>
        <w:t>令第五条第三号の変更の内容については、法第三条第二項第三号の製錬施設の位置、構造及び設備の変更に係る場合にあつては第一条の二第一項第一号に掲げる施設の区分によつて記載し、法第三条第二項第三号の製錬の方法の変更に係る場合にあつては系統図によつて記載し、同項第五号の製錬施設の保安のための業務に係る品質管理に必要な体制の整備に関する事項の変更に係る場合にあつては第一条の二第一項第四号に規定する事項を記載すること。</w:t>
      </w:r>
    </w:p>
    <w:p>
      <w:pPr>
        <w:pStyle w:val="ListBullet"/>
        <w:ind w:left="880"/>
      </w:pPr>
      <w:r>
        <w:t>二</w:t>
        <w:br/>
        <w:t>令第五条第五号の工事計画については、工事の順序及び日程を記載すること。</w:t>
      </w:r>
    </w:p>
    <w:p>
      <w:pPr>
        <w:pStyle w:val="Heading5"/>
        <w:ind w:left="440"/>
      </w:pPr>
      <w:r>
        <w:t>２</w:t>
      </w:r>
    </w:p>
    <w:p>
      <w:pPr>
        <w:ind w:left="440"/>
      </w:pPr>
      <w:r>
        <w:t>法第三条第二項第三号又は第五号に掲げる事項の変更に係る令第五条の許可の申請書には、次の各号に掲げる書類を添付しなければならない。</w:t>
      </w:r>
    </w:p>
    <w:p>
      <w:pPr>
        <w:pStyle w:val="ListBullet"/>
        <w:ind w:left="880"/>
      </w:pPr>
      <w:r>
        <w:t>一</w:t>
        <w:br/>
        <w:t>次の事項を記載した事業計画書</w:t>
      </w:r>
    </w:p>
    <w:p>
      <w:pPr>
        <w:pStyle w:val="ListBullet"/>
        <w:ind w:left="880"/>
      </w:pPr>
      <w:r>
        <w:t>二</w:t>
        <w:br/>
        <w:t>変更に係る申請者の技術的能力に関する説明書</w:t>
      </w:r>
    </w:p>
    <w:p>
      <w:pPr>
        <w:pStyle w:val="ListBullet"/>
        <w:ind w:left="880"/>
      </w:pPr>
      <w:r>
        <w:t>三</w:t>
        <w:br/>
        <w:t>変更に係る製錬施設に関する核原料物質又は核燃料物質による災害の防止に関する説明書</w:t>
      </w:r>
    </w:p>
    <w:p>
      <w:pPr>
        <w:pStyle w:val="ListBullet"/>
        <w:ind w:left="880"/>
      </w:pPr>
      <w:r>
        <w:t>四</w:t>
        <w:br/>
        <w:t>変更後における製錬施設の保安のための業務に係る品質管理に必要な体制の整備に関する説明書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第三条（合併及び分割の認可の申請）</w:t>
      </w:r>
    </w:p>
    <w:p>
      <w:r>
        <w:t>法第八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製錬の事業に係る工場又は事業所の名称及び所在地</w:t>
      </w:r>
    </w:p>
    <w:p>
      <w:pPr>
        <w:pStyle w:val="ListBullet"/>
        <w:ind w:left="880"/>
      </w:pPr>
      <w:r>
        <w:t>三</w:t>
        <w:br/>
        <w:t>合併後存続する法人若しくは合併によつて設立される法人又は分割により製錬の事業の全部を承継する法人の名称及び住所並びに代表者の氏名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製錬施設の保安のための業務に係る品質管理に必要な体制の整備に関する事項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合併後存続する法人又は吸収分割により製錬の事業を承継する法人が現に製錬事業者でない場合にあつては、その法人の定款、登記事項証明書並びに最近の財産目録、貸借対照表及び損益計算書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合併後存続する法人若しくは合併によつて設立される法人又は分割により製錬の事業の全部を承継する法人の定款並びに役員となるべき者の氏名及び履歴</w:t>
      </w:r>
    </w:p>
    <w:p>
      <w:pPr>
        <w:pStyle w:val="ListBullet"/>
        <w:ind w:left="880"/>
      </w:pPr>
      <w:r>
        <w:t>五</w:t>
        <w:br/>
        <w:t>前号に規定する法人が法第五条第一号、第二号及び第四号のいずれにも該当しないことを誓約する書面</w:t>
      </w:r>
    </w:p>
    <w:p>
      <w:pPr>
        <w:pStyle w:val="ListBullet"/>
        <w:ind w:left="880"/>
      </w:pPr>
      <w:r>
        <w:t>六</w:t>
        <w:br/>
        <w:t>合併後存続する法人若しくは合併によつて設立される法人の合併又は分割により製錬の事業の全部を承継する法人の分割後三年間における各事業年度別の製錬の事業の資金計画書及び収支見積書</w:t>
      </w:r>
    </w:p>
    <w:p>
      <w:pPr>
        <w:pStyle w:val="ListBullet"/>
        <w:ind w:left="880"/>
      </w:pPr>
      <w:r>
        <w:t>七</w:t>
        <w:br/>
        <w:t>製錬施設の保安のための業務に係る品質管理に必要な体制の整備に関する説明書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第四条（変更等の届出）</w:t>
      </w:r>
    </w:p>
    <w:p>
      <w:r>
        <w:t>法第六条第二項、法第七条又は法第九条第二項の規定による届出に係る書類の提出部数は、正本及び写し各一通とする。</w:t>
      </w:r>
    </w:p>
    <w:p>
      <w:pPr>
        <w:pStyle w:val="Heading4"/>
      </w:pPr>
      <w:r>
        <w:t>第五条（指定の取消し）</w:t>
      </w:r>
    </w:p>
    <w:p>
      <w:r>
        <w:t>法第十条第一項に規定する原子力規制委員会規則で定める期間は、法第三条第一項の指定を受けた後二年とする。</w:t>
      </w:r>
    </w:p>
    <w:p>
      <w:pPr>
        <w:pStyle w:val="Heading4"/>
      </w:pPr>
      <w:r>
        <w:t>第六条（記録）</w:t>
      </w:r>
    </w:p>
    <w:p>
      <w:r>
        <w:t>法第十一条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ListBullet"/>
        <w:ind w:left="880"/>
      </w:pPr>
      <w:r>
        <w:t>一</w:t>
        <w:br/>
        <w:t>核原料物質又は核燃料物質の種類別の受渡量及び在庫量</w:t>
      </w:r>
    </w:p>
    <w:p>
      <w:pPr>
        <w:pStyle w:val="ListBullet"/>
        <w:ind w:left="880"/>
      </w:pPr>
      <w:r>
        <w:t>二</w:t>
        <w:br/>
        <w:t>放射線管理記録</w:t>
      </w:r>
    </w:p>
    <w:p>
      <w:pPr>
        <w:pStyle w:val="ListBullet"/>
        <w:ind w:left="880"/>
      </w:pPr>
      <w:r>
        <w:t>三</w:t>
        <w:br/>
        <w:t>製錬施設の保全のために行う設計、工事、巡視、点検、検査その他の施設の管理（以下この表並びに次条第一項第十五号及び第二項第十六号において「施設管理」という。）に係る記録</w:t>
      </w:r>
    </w:p>
    <w:p>
      <w:pPr>
        <w:pStyle w:val="ListBullet"/>
        <w:ind w:left="880"/>
      </w:pPr>
      <w:r>
        <w:t>四</w:t>
        <w:br/>
        <w:t>製錬施設の事故記録</w:t>
      </w:r>
    </w:p>
    <w:p>
      <w:pPr>
        <w:pStyle w:val="ListBullet"/>
        <w:ind w:left="880"/>
      </w:pPr>
      <w:r>
        <w:t>五</w:t>
        <w:br/>
        <w:t>保安教育の記録</w:t>
      </w:r>
    </w:p>
    <w:p>
      <w:pPr>
        <w:pStyle w:val="ListBullet"/>
        <w:ind w:left="880"/>
      </w:pPr>
      <w:r>
        <w:t>六</w:t>
        <w:br/>
        <w:t>廃止措置に係る工事の方法、時期及び対象となる製錬施設の設備の名称</w:t>
      </w:r>
    </w:p>
    <w:p>
      <w:pPr>
        <w:pStyle w:val="ListBullet"/>
        <w:ind w:left="880"/>
      </w:pPr>
      <w:r>
        <w:t>七</w:t>
        <w:br/>
        <w:t>第六条の二に規定する防護措置の記録</w:t>
      </w:r>
    </w:p>
    <w:p>
      <w:pPr>
        <w:pStyle w:val="ListBullet"/>
        <w:ind w:left="880"/>
      </w:pPr>
      <w:r>
        <w:t>八</w:t>
        <w:br/>
        <w:t>工場又は事業所において用いた資材その他の物に含まれる放射性物質の放射能濃度について法第六十一条の二第一項の規定に基づく確認を受けようとするもの（以下「放射能濃度確認対象物」という。）の記録</w:t>
      </w:r>
    </w:p>
    <w:p>
      <w:pPr>
        <w:pStyle w:val="ListBullet"/>
        <w:ind w:left="880"/>
      </w:pPr>
      <w:r>
        <w:t>九</w:t>
        <w:br/>
        <w:t>品質管理基準規則第四条第三項に規定する品質マネジメント文書及び品質マネジメントシステムに従つた計画、実施、評価及び改善状況の記録（他の号に掲げるものを除く。）</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第一項の表第二号ロの線量当量率並びに同号ハ及びニの線量は、それぞれ原子力規制委員会の定めるところにより記録するものとする。</w:t>
      </w:r>
    </w:p>
    <w:p>
      <w:pPr>
        <w:pStyle w:val="Heading5"/>
        <w:ind w:left="440"/>
      </w:pPr>
      <w:r>
        <w:t>４</w:t>
      </w:r>
    </w:p>
    <w:p>
      <w:pPr>
        <w:ind w:left="440"/>
      </w:pPr>
      <w:r>
        <w:t>第一項の表第二号ハ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ハからホまでの記録の保存期間は、その記録に係る者が放射線業務従事者でなくなつた場合又はその記録を保存している期間が五年を超えた場合において製錬事業者がその記録を原子力規制委員会の指定する機関に引き渡すまでの期間とする。</w:t>
      </w:r>
    </w:p>
    <w:p>
      <w:pPr>
        <w:pStyle w:val="Heading5"/>
        <w:ind w:left="440"/>
      </w:pPr>
      <w:r>
        <w:t>６</w:t>
      </w:r>
    </w:p>
    <w:p>
      <w:pPr>
        <w:ind w:left="440"/>
      </w:pPr>
      <w:r>
        <w:t>製錬事業者は、第一項の表第二号ハの記録に係る放射線業務従事者に、その記録の写しをその者が当該業務を離れる時に交付しなければならない。</w:t>
      </w:r>
    </w:p>
    <w:p>
      <w:pPr>
        <w:pStyle w:val="Heading5"/>
        <w:ind w:left="440"/>
      </w:pPr>
      <w:r>
        <w:t>７</w:t>
      </w:r>
    </w:p>
    <w:p>
      <w:pPr>
        <w:ind w:left="440"/>
      </w:pPr>
      <w:r>
        <w:t>第一項の表第二号ヘからチまで、第四号及び第六号の記録の保存期間は、法第十二条の六第八項の確認を受けるまでの期間とする。</w:t>
      </w:r>
    </w:p>
    <w:p>
      <w:pPr>
        <w:pStyle w:val="Heading4"/>
      </w:pPr>
      <w:r>
        <w:t>第六条の二（防護措置）</w:t>
      </w:r>
    </w:p>
    <w:p>
      <w:r>
        <w:t>法第十一条の二第一項の規定により、製錬事業者は、次の表の上欄に掲げる特定核燃料物質の区分に応じ、それぞれ同表の下欄に掲げる措置を採らなければならない。</w:t>
      </w:r>
    </w:p>
    <w:p>
      <w:pPr>
        <w:pStyle w:val="ListBullet"/>
        <w:ind w:left="880"/>
      </w:pPr>
      <w:r>
        <w:t>一</w:t>
        <w:br/>
        <w:t>照射されていない次に掲げる物質</w:t>
      </w:r>
    </w:p>
    <w:p>
      <w:pPr>
        <w:pStyle w:val="ListBullet"/>
        <w:ind w:left="880"/>
      </w:pPr>
      <w:r>
        <w:t>二</w:t>
        <w:br/>
        <w:t>照射された前号に掲げる物質であつて、その表面から一メートルの距離において、当該物質から放出された放射線が空気に吸収された場合の吸収線量率（以下単に「吸収線量率」という。）が一グレイ毎時以下のもの</w:t>
      </w:r>
    </w:p>
    <w:p>
      <w:pPr>
        <w:pStyle w:val="ListBullet"/>
        <w:ind w:left="880"/>
      </w:pPr>
      <w:r>
        <w:t>三</w:t>
        <w:br/>
        <w:t>照射された第一号に掲げる物質であつて、その表面から一メートルの距離において吸収線量率が一グレイ毎時を超えるもの（第十号に掲げるものを除く。）</w:t>
      </w:r>
    </w:p>
    <w:p>
      <w:pPr>
        <w:pStyle w:val="ListBullet"/>
        <w:ind w:left="880"/>
      </w:pPr>
      <w:r>
        <w:t>四</w:t>
        <w:br/>
        <w:t>照射されていない次に掲げる物質</w:t>
      </w:r>
    </w:p>
    <w:p>
      <w:pPr>
        <w:pStyle w:val="ListBullet"/>
        <w:ind w:left="880"/>
      </w:pPr>
      <w:r>
        <w:t>五</w:t>
        <w:br/>
        <w:t>照射された前号に掲げる物質であつて、その表面から一メートルの距離において吸収線量率が一グレイ毎時以下のもの</w:t>
      </w:r>
    </w:p>
    <w:p>
      <w:pPr>
        <w:pStyle w:val="ListBullet"/>
        <w:ind w:left="880"/>
      </w:pPr>
      <w:r>
        <w:t>六</w:t>
        <w:br/>
        <w:t>令第三条第三号に規定する特定核燃料物質（第十一号に掲げるものを除く。）</w:t>
      </w:r>
    </w:p>
    <w:p>
      <w:pPr>
        <w:pStyle w:val="ListBullet"/>
        <w:ind w:left="880"/>
      </w:pPr>
      <w:r>
        <w:t>七</w:t>
        <w:br/>
        <w:t>照射された第四号に掲げる物質であつて、その表面から一メートルの距離において吸収線量率が一グレイ毎時を超えるもの（第十号に掲げるものを除く。）</w:t>
      </w:r>
    </w:p>
    <w:p>
      <w:pPr>
        <w:pStyle w:val="ListBullet"/>
        <w:ind w:left="880"/>
      </w:pPr>
      <w:r>
        <w:t>八</w:t>
        <w:br/>
        <w:t>照射されていない次に掲げる物質</w:t>
      </w:r>
    </w:p>
    <w:p>
      <w:pPr>
        <w:pStyle w:val="ListBullet"/>
        <w:ind w:left="880"/>
      </w:pPr>
      <w:r>
        <w:t>九</w:t>
        <w:br/>
        <w:t>照射された前号に掲げる物質（照射された同号ニに掲げる物質であつて照射直後にその表面から一メートルの距離において吸収線量率が一グレイ毎時を超えていたもの及び次号に掲げるものを除く。）</w:t>
      </w:r>
    </w:p>
    <w:p>
      <w:pPr>
        <w:pStyle w:val="ListBullet"/>
        <w:ind w:left="880"/>
      </w:pPr>
      <w:r>
        <w:t>十</w:t>
        <w:br/>
        <w:t>照射された第一号、第四号又は第八号に掲げる物質（使用済燃料を溶解した液体から核燃料物質その他の有用物質を分離した残りの液体をガラスにより容器に固型化した物（次号において「ガラス固化体」という。）に含まれるものであつて、その表面から一メートルの距離において吸収線量率が一グレイ毎時を超えるものに限る。）</w:t>
      </w:r>
    </w:p>
    <w:p>
      <w:pPr>
        <w:pStyle w:val="ListBullet"/>
        <w:ind w:left="880"/>
      </w:pPr>
      <w:r>
        <w:t>十一</w:t>
        <w:br/>
        <w:t>令第三条第三号に規定する特定核燃料物質（ガラス固化体に含まれるものであつて、その表面から一メートルの距離において吸収線量率が一グレイ毎時を超えるものに限る。）</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ただし、防護区域、周辺防護区域又は立入制限区域に立ち入ることが特に必要な車両であつて、特定核燃料物質の防護上支障がないと認められるものについては、この限りでない。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ただし、当該駐車場の外に駐車することが特に必要な車両であつて、特定核燃料物質の防護上支障がないと認められるものについては、この限りでない。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製錬施設を設置した工場又は事業所内（防護区域内を除く。）において特定核燃料物質を運搬する場合については、次に掲げる措置を講ずること。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製錬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十四</w:t>
        <w:br/>
        <w:t>前号の情報システムに対する妨害行為又は破壊行為が行われるおそれがある場合又は行われた場合において迅速かつ確実に対応できるように適切な計画（第七条の三第一項において「情報システムセキュリティ計画」という。）を作成すること。</w:t>
      </w:r>
    </w:p>
    <w:p>
      <w:pPr>
        <w:pStyle w:val="ListBullet"/>
        <w:ind w:left="880"/>
      </w:pPr>
      <w:r>
        <w:t>十五</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十六</w:t>
        <w:br/>
        <w:t>特定核燃料物質の防護のために必要な設備及び装置については、点検及び保守を行い、その機能を維持すること。</w:t>
      </w:r>
    </w:p>
    <w:p>
      <w:pPr>
        <w:pStyle w:val="ListBullet"/>
        <w:ind w:left="880"/>
      </w:pPr>
      <w:r>
        <w:t>十七</w:t>
        <w:br/>
        <w:t>特定核燃料物質の防護のために必要な連絡に関し、次に掲げる措置を講ずること。</w:t>
      </w:r>
    </w:p>
    <w:p>
      <w:pPr>
        <w:pStyle w:val="ListBullet"/>
        <w:ind w:left="880"/>
      </w:pPr>
      <w:r>
        <w:t>十八</w:t>
        <w:br/>
        <w:t>地震、火災その他の災害により見張人の詰所が使用できない場合に備えて、次に掲げる措置を講ずること。</w:t>
      </w:r>
    </w:p>
    <w:p>
      <w:pPr>
        <w:pStyle w:val="ListBullet"/>
        <w:ind w:left="880"/>
      </w:pPr>
      <w:r>
        <w:t>十九</w:t>
        <w:br/>
        <w:t>従業者に対し、その職務の内容に応じて特定核燃料物質の防護のために必要な教育及び訓練を行うこと。</w:t>
      </w:r>
    </w:p>
    <w:p>
      <w:pPr>
        <w:pStyle w:val="ListBullet"/>
        <w:ind w:left="880"/>
      </w:pPr>
      <w:r>
        <w:t>二十</w:t>
        <w:br/>
        <w:t>特定核燃料物質の防護のために必要な体制を整備すること。</w:t>
      </w:r>
    </w:p>
    <w:p>
      <w:pPr>
        <w:pStyle w:val="ListBullet"/>
        <w:ind w:left="880"/>
      </w:pPr>
      <w:r>
        <w:t>二十一</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二十二</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二十三</w:t>
        <w:br/>
        <w:t>証明書等の発行又は業務上知り得る者の指定を受けようとする者（以下この号において「対象者」という。）について、次に掲げる措置を講ずること。</w:t>
      </w:r>
    </w:p>
    <w:p>
      <w:pPr>
        <w:pStyle w:val="ListBullet"/>
        <w:ind w:left="880"/>
      </w:pPr>
      <w:r>
        <w:t>二十四</w:t>
        <w:br/>
        <w:t>前各号の措置は、原子力規制委員会が別に定める妨害破壊行為等の脅威に対応したものとすること。</w:t>
      </w:r>
    </w:p>
    <w:p>
      <w:pPr>
        <w:pStyle w:val="ListBullet"/>
        <w:ind w:left="880"/>
      </w:pPr>
      <w:r>
        <w:t>二十五</w:t>
        <w:b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br/>
        <w:t>この場合において、同項第三号中「周辺防護区域」とあるのは「防護区域」と、「人が容易に侵入することを防止できる十分な高さ及び構造を有する柵等」とあるのは「柵等」と、「区画し、並びに当該障壁の周辺に標識及びサイレン、拡声機その他の人に警告するための設備又は装置を設置し、並びに照明装置等の容易に人の侵入を確認することができる設備又は装置を設置すること」とあるのは「区画すること」と、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八号中「防護区域、周辺防護区域及び立入制限区域の出入口においては、次に掲げる措置」とあるのは「防護区域の出入口においては、次に掲げる措置を、立入制限区域の出入口においては、次のハに掲げる措置」と、同項第十一号中「防護区域内若しくは周辺防護区域内」とあるのは「防護区域内」と、「周辺防護区域の」とあるのは「防護区域の」と、同項第十二号中「防護区域、周辺防護区域若しくは立入制限区域又は施設」とあるのは「防護区域又は施設」と、同項第十七号中「防護区域内又は周辺防護区域内」とあるのは「防護区域内」と、「防護区域内、周辺防護区域内」とあるのは「防護区域内」と、同項第十八号中「防護区域内、周辺防護区域内」とあるのは「防護区域内」と、同項第二十四号中「前各号の措置は」とあるのは「第一項の表第三号から第六号までの特定核燃料物質（同表第四号ハに掲げる物質及び同表第五号に掲げる物質のうち照射された同表第四号ハ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Heading5"/>
        <w:ind w:left="440"/>
      </w:pPr>
      <w:r>
        <w:t>４</w:t>
      </w:r>
    </w:p>
    <w:p>
      <w:pPr>
        <w:ind w:left="440"/>
      </w:pPr>
      <w:r>
        <w:t>第一項の表第七号から第十一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同項第二十四号及び同項第二十五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四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防護区域の周辺に、立入制限区域を定め、当該立入制限区域を柵等の障壁によつて区画すること。</w:t>
      </w:r>
    </w:p>
    <w:p>
      <w:pPr>
        <w:pStyle w:val="ListBullet"/>
        <w:ind w:left="880"/>
      </w:pPr>
      <w:r>
        <w:t>三</w:t>
        <w:br/>
        <w:t>見張人に防護区域及び立入制限区域の出入口を常時監視させること。</w:t>
        <w:br/>
        <w:t>ただし、出入口に施錠した場合は、当該出入口については、この限りでない。</w:t>
      </w:r>
    </w:p>
    <w:p>
      <w:pPr>
        <w:pStyle w:val="ListBullet"/>
        <w:ind w:left="880"/>
      </w:pPr>
      <w:r>
        <w:t>四</w:t>
        <w:br/>
        <w:t>特定核燃料物質が貯蔵され又は保管廃棄されている施設（以下この号において「貯蔵施設等」という。）については、次に掲げる措置を講ずること。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第七条（保安規定）</w:t>
      </w:r>
    </w:p>
    <w:p>
      <w:r>
        <w:t>法第十二条の六第二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製錬施設の管理を行う者の職務及び組織に関すること。</w:t>
      </w:r>
    </w:p>
    <w:p>
      <w:pPr>
        <w:pStyle w:val="ListBullet"/>
        <w:ind w:left="880"/>
      </w:pPr>
      <w:r>
        <w:t>四</w:t>
        <w:br/>
        <w:t>製錬施設の操作及び管理を行う者に対する保安教育に関することであつて次に掲げるもの</w:t>
      </w:r>
    </w:p>
    <w:p>
      <w:pPr>
        <w:pStyle w:val="ListBullet"/>
        <w:ind w:left="880"/>
      </w:pPr>
      <w:r>
        <w:t>五</w:t>
        <w:br/>
        <w:t>災害の防止上特に管理を必要とする機器の操作に関すること。</w:t>
      </w:r>
    </w:p>
    <w:p>
      <w:pPr>
        <w:pStyle w:val="ListBullet"/>
        <w:ind w:left="880"/>
      </w:pPr>
      <w:r>
        <w:t>六</w:t>
        <w:br/>
        <w:t>管理区域及び周辺監視区域の設定並びにこれらの区域に係る立入制限等に関すること。</w:t>
      </w:r>
    </w:p>
    <w:p>
      <w:pPr>
        <w:pStyle w:val="ListBullet"/>
        <w:ind w:left="880"/>
      </w:pPr>
      <w:r>
        <w:t>七</w:t>
        <w:br/>
        <w:t>排気監視設備及び排水監視設備に関すること。</w:t>
      </w:r>
    </w:p>
    <w:p>
      <w:pPr>
        <w:pStyle w:val="ListBullet"/>
        <w:ind w:left="880"/>
      </w:pPr>
      <w:r>
        <w:t>八</w:t>
        <w:br/>
        <w:t>放射性物質を経口摂取するおそれのある場所における飲食及び喫煙の禁止に関すること。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放射線測定器の管理及び放射線の測定の方法に関すること。</w:t>
      </w:r>
    </w:p>
    <w:p>
      <w:pPr>
        <w:pStyle w:val="ListBullet"/>
        <w:ind w:left="880"/>
      </w:pPr>
      <w:r>
        <w:t>十一</w:t>
        <w:br/>
        <w:t>核原料物質及び核燃料物質の受渡し、運搬、貯蔵その他の取扱い（工場又は事業所の外において行う場合を含む。）に関すること。</w:t>
      </w:r>
    </w:p>
    <w:p>
      <w:pPr>
        <w:pStyle w:val="ListBullet"/>
        <w:ind w:left="880"/>
      </w:pPr>
      <w:r>
        <w:t>十二</w:t>
        <w:br/>
        <w:t>放射性廃棄物の廃棄（工場又は事業所の外において行う場合を含む。）に関すること。</w:t>
      </w:r>
    </w:p>
    <w:p>
      <w:pPr>
        <w:pStyle w:val="ListBullet"/>
        <w:ind w:left="880"/>
      </w:pPr>
      <w:r>
        <w:t>十三</w:t>
        <w:br/>
        <w:t>非常の場合に講ずべき処置に関すること。</w:t>
      </w:r>
    </w:p>
    <w:p>
      <w:pPr>
        <w:pStyle w:val="ListBullet"/>
        <w:ind w:left="880"/>
      </w:pPr>
      <w:r>
        <w:t>十四</w:t>
        <w:br/>
        <w:t>製錬施設に係る保安（保安規定の遵守状況を含む。）に関する記録に関すること。</w:t>
      </w:r>
    </w:p>
    <w:p>
      <w:pPr>
        <w:pStyle w:val="ListBullet"/>
        <w:ind w:left="880"/>
      </w:pPr>
      <w:r>
        <w:t>十五</w:t>
        <w:br/>
        <w:t>製錬施設の施設管理に関すること。</w:t>
      </w:r>
    </w:p>
    <w:p>
      <w:pPr>
        <w:pStyle w:val="ListBullet"/>
        <w:ind w:left="880"/>
      </w:pPr>
      <w:r>
        <w:t>十六</w:t>
        <w:br/>
        <w:t>保守点検を行つた事業者から得られた保安に関する技術情報についての他の製錬事業者との共有に関すること。</w:t>
      </w:r>
    </w:p>
    <w:p>
      <w:pPr>
        <w:pStyle w:val="ListBullet"/>
        <w:ind w:left="880"/>
      </w:pPr>
      <w:r>
        <w:t>十七</w:t>
        <w:br/>
        <w:t>不適合（品質管理基準規則第二条第二項第二号に規定するものをいう。以下この号及び次項第十八号において同じ。）が発生した場合における当該不適合に関する情報の公開に関すること。</w:t>
      </w:r>
    </w:p>
    <w:p>
      <w:pPr>
        <w:pStyle w:val="ListBullet"/>
        <w:ind w:left="880"/>
      </w:pPr>
      <w:r>
        <w:t>十八</w:t>
        <w:br/>
        <w:t>その他製錬施設に係る保安に関し必要な事項</w:t>
      </w:r>
    </w:p>
    <w:p>
      <w:pPr>
        <w:pStyle w:val="Heading5"/>
        <w:ind w:left="440"/>
      </w:pPr>
      <w:r>
        <w:t>２</w:t>
      </w:r>
    </w:p>
    <w:p>
      <w:pPr>
        <w:ind w:left="440"/>
      </w:pPr>
      <w:r>
        <w:t>法第十二条の六第二項の認可を受けようとする者は、当該認可の日までに、当該認可を受けようとする廃止措置計画に定められている廃止措置を実施するため、法第十二条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w:t>
      </w:r>
    </w:p>
    <w:p>
      <w:pPr>
        <w:pStyle w:val="ListBullet"/>
        <w:ind w:left="880"/>
      </w:pPr>
      <w:r>
        <w:t>五</w:t>
        <w:br/>
        <w:t>廃止措置を行う者に対する保安教育に関することであつて次に掲げるもの</w:t>
      </w:r>
    </w:p>
    <w:p>
      <w:pPr>
        <w:pStyle w:val="ListBullet"/>
        <w:ind w:left="880"/>
      </w:pPr>
      <w:r>
        <w:t>六</w:t>
        <w:br/>
        <w:t>災害の防止上特に管理を必要とする機器の操作に関すること。</w:t>
      </w:r>
    </w:p>
    <w:p>
      <w:pPr>
        <w:pStyle w:val="ListBullet"/>
        <w:ind w:left="880"/>
      </w:pPr>
      <w:r>
        <w:t>七</w:t>
        <w:br/>
        <w:t>管理区域及び周辺監視区域の設定並びにこれらの区域に係る立入制限等に関すること。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放射性物質を経口摂取するおそれのある場所における飲食及び喫煙の禁止に関すること。</w:t>
      </w:r>
    </w:p>
    <w:p>
      <w:pPr>
        <w:pStyle w:val="ListBullet"/>
        <w:ind w:left="880"/>
      </w:pPr>
      <w:r>
        <w:t>十</w:t>
        <w:br/>
        <w:t>線量、線量当量、放射性物質の濃度及び放射性物質によつて汚染された物の表面の放射性物質の密度の監視並びに汚染の除去に関すること。</w:t>
      </w:r>
    </w:p>
    <w:p>
      <w:pPr>
        <w:pStyle w:val="ListBullet"/>
        <w:ind w:left="880"/>
      </w:pPr>
      <w:r>
        <w:t>十一</w:t>
        <w:br/>
        <w:t>放射線測定器の管理及び放射線の測定の方法に関すること。</w:t>
      </w:r>
    </w:p>
    <w:p>
      <w:pPr>
        <w:pStyle w:val="ListBullet"/>
        <w:ind w:left="880"/>
      </w:pPr>
      <w:r>
        <w:t>十二</w:t>
        <w:br/>
        <w:t>放射性廃棄物の廃棄（工場又は事業所の外において行う場合を含む。）に関すること。</w:t>
      </w:r>
    </w:p>
    <w:p>
      <w:pPr>
        <w:pStyle w:val="ListBullet"/>
        <w:ind w:left="880"/>
      </w:pPr>
      <w:r>
        <w:t>十三</w:t>
        <w:br/>
        <w:t>非常の場合に講ずべき処置に関すること。</w:t>
      </w:r>
    </w:p>
    <w:p>
      <w:pPr>
        <w:pStyle w:val="ListBullet"/>
        <w:ind w:left="880"/>
      </w:pPr>
      <w:r>
        <w:t>十四</w:t>
        <w:br/>
        <w:t>製錬施設に係る保安（保安規定の遵守状況を含む。）に関する適正な記録及び報告（第七条の七各号に掲げる事故故障等の事象及びこれらに準ずるものが発生した場合の経営責任者への報告を含む。）に関すること。</w:t>
      </w:r>
    </w:p>
    <w:p>
      <w:pPr>
        <w:pStyle w:val="ListBullet"/>
        <w:ind w:left="880"/>
      </w:pPr>
      <w:r>
        <w:t>十五</w:t>
        <w:br/>
        <w:t>廃止措置に係る保安（保安規定の遵守状況を含む。）に関する適正な記録及び報告（第七条の七各号に掲げる事故故障等の事象及びこれらに準ずるものが発生した場合の経営責任者への報告を含む。）に関すること。</w:t>
      </w:r>
    </w:p>
    <w:p>
      <w:pPr>
        <w:pStyle w:val="ListBullet"/>
        <w:ind w:left="880"/>
      </w:pPr>
      <w:r>
        <w:t>十六</w:t>
        <w:br/>
        <w:t>製錬施設の施設管理に関すること。</w:t>
      </w:r>
    </w:p>
    <w:p>
      <w:pPr>
        <w:pStyle w:val="ListBullet"/>
        <w:ind w:left="880"/>
      </w:pPr>
      <w:r>
        <w:t>十七</w:t>
        <w:br/>
        <w:t>保守点検を行つた事業者から得られた保安に関する技術情報についての他の製錬事業者との共有に関すること。</w:t>
      </w:r>
    </w:p>
    <w:p>
      <w:pPr>
        <w:pStyle w:val="ListBullet"/>
        <w:ind w:left="880"/>
      </w:pPr>
      <w:r>
        <w:t>十八</w:t>
        <w:br/>
        <w:t>不適合が発生した場合における当該不適合に関する情報の公開に関すること。</w:t>
      </w:r>
    </w:p>
    <w:p>
      <w:pPr>
        <w:pStyle w:val="ListBullet"/>
        <w:ind w:left="880"/>
      </w:pPr>
      <w:r>
        <w:t>十九</w:t>
        <w:br/>
        <w:t>廃止措置の管理に関すること。</w:t>
      </w:r>
    </w:p>
    <w:p>
      <w:pPr>
        <w:pStyle w:val="ListBullet"/>
        <w:ind w:left="880"/>
      </w:pPr>
      <w:r>
        <w:t>二十</w:t>
        <w:br/>
        <w:t>その他製錬施設又は廃止措置に係る保安に関し必要な事項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第七条の二</w:t>
      </w:r>
    </w:p>
    <w:p>
      <w:r>
        <w:t>削除</w:t>
      </w:r>
    </w:p>
    <w:p>
      <w:pPr>
        <w:pStyle w:val="Heading4"/>
      </w:pPr>
      <w:r>
        <w:t>第七条の三（核物質防護規定）</w:t>
      </w:r>
    </w:p>
    <w:p>
      <w:r>
        <w:t>法第十二条の二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六条の二第一項の表第一号又は第二号の特定核燃料物質を取り扱う工場又は事業所にあつ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製錬施設に係る緊急時対応計画に関すること。</w:t>
      </w:r>
    </w:p>
    <w:p>
      <w:pPr>
        <w:pStyle w:val="ListBullet"/>
        <w:ind w:left="880"/>
      </w:pPr>
      <w:r>
        <w:t>十五</w:t>
        <w:br/>
        <w:t>妨害破壊行為等の脅威に対応するために講ずる措置に関すること（第六条の二第二項第二十四号（同条第三項及び第四項で準用する場合を含む。）に該当するものに限る。）。</w:t>
      </w:r>
    </w:p>
    <w:p>
      <w:pPr>
        <w:pStyle w:val="ListBullet"/>
        <w:ind w:left="880"/>
      </w:pPr>
      <w:r>
        <w:t>十六</w:t>
        <w:br/>
        <w:t>特定核燃料物質の防護のために必要な措置の定期的な評価及び改善に関すること。</w:t>
      </w:r>
    </w:p>
    <w:p>
      <w:pPr>
        <w:pStyle w:val="ListBullet"/>
        <w:ind w:left="880"/>
      </w:pPr>
      <w:r>
        <w:t>十七</w:t>
        <w:br/>
        <w:t>製錬施設に係る特定核燃料物質の防護（核物質防護規定の遵守状況を含む。）に関する記録に関すること。</w:t>
      </w:r>
    </w:p>
    <w:p>
      <w:pPr>
        <w:pStyle w:val="ListBullet"/>
        <w:ind w:left="880"/>
      </w:pPr>
      <w:r>
        <w:t>十八</w:t>
        <w:br/>
        <w:t>その他製錬施設に係る特定核燃料物質の防護に関し必要な事項</w:t>
      </w:r>
    </w:p>
    <w:p>
      <w:pPr>
        <w:pStyle w:val="Heading5"/>
        <w:ind w:left="440"/>
      </w:pPr>
      <w:r>
        <w:t>２</w:t>
      </w:r>
    </w:p>
    <w:p>
      <w:pPr>
        <w:ind w:left="440"/>
      </w:pPr>
      <w:r>
        <w:t>前項の申請書の提出部数は、正本及び写し各一通（製錬施設のうち令第六十三条第一項の表第四号の原子力規制委員会が告示で定めるものに係る申請をする場合には、正本一通及び写し二通）とする。</w:t>
      </w:r>
    </w:p>
    <w:p>
      <w:pPr>
        <w:pStyle w:val="Heading4"/>
      </w:pPr>
      <w:r>
        <w:t>第七条の四（核物質防護管理者の選任等）</w:t>
      </w:r>
    </w:p>
    <w:p>
      <w:r>
        <w:t>法第十二条の三第一項の規定による核物質防護管理者の選任は、工場又は事業所ごとに行うものとする。</w:t>
      </w:r>
    </w:p>
    <w:p>
      <w:pPr>
        <w:pStyle w:val="Heading5"/>
        <w:ind w:left="440"/>
      </w:pPr>
      <w:r>
        <w:t>２</w:t>
      </w:r>
    </w:p>
    <w:p>
      <w:pPr>
        <w:ind w:left="440"/>
      </w:pPr>
      <w:r>
        <w:t>法第十二条の三第二項の規定による届出に係る書類の提出部数は、正本及び写し各一通（製錬施設のうち令第六十四条の表第八号の原子力規制委員会が告示で定めるものに係る届出をする場合には、正本一通及び写し二通）とする。</w:t>
      </w:r>
    </w:p>
    <w:p>
      <w:pPr>
        <w:pStyle w:val="Heading4"/>
      </w:pPr>
      <w:r>
        <w:t>第七条の五（核物質防護管理者の要件）</w:t>
      </w:r>
    </w:p>
    <w:p>
      <w:r>
        <w:t>法第十二条の三第一項の原子力規制委員会規則で定める要件は、次の各号に掲げるものとする。</w:t>
      </w:r>
    </w:p>
    <w:p>
      <w:pPr>
        <w:pStyle w:val="ListBullet"/>
        <w:ind w:left="880"/>
      </w:pPr>
      <w:r>
        <w:t>一</w:t>
        <w:br/>
        <w:t>製錬施設を設置した工場又は事業所において特定核燃料物質の防護に関する業務を統一的に管理することができる地位にあること。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第七条の五の二（廃止措置として行うべき事項）</w:t>
      </w:r>
    </w:p>
    <w:p>
      <w:r>
        <w:t>法第十二条の五の二第一項の原子力規制委員会規則で定める廃止措置は、製錬施設の解体、核燃料物質の譲渡し、核燃料物質による汚染の除去、核燃料物質又は核燃料物質によつて汚染された物の廃棄及び第六条第一項に規定する放射線管理記録の同条第五項の原子力規制委員会が指定する機関への引渡しとする。</w:t>
      </w:r>
    </w:p>
    <w:p>
      <w:pPr>
        <w:pStyle w:val="Heading4"/>
      </w:pPr>
      <w:r>
        <w:t>第七条の五の三（廃止措置実施方針に定める事項）</w:t>
      </w:r>
    </w:p>
    <w:p>
      <w:r>
        <w:t>法第十二条の五の二第一項の廃止措置実施方針には、次に掲げる事項を定めなければならない。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w:t>
      </w:r>
    </w:p>
    <w:p>
      <w:pPr>
        <w:pStyle w:val="ListBullet"/>
        <w:ind w:left="880"/>
      </w:pPr>
      <w:r>
        <w:t>三</w:t>
        <w:br/>
        <w:t>廃止措置の対象となることが見込まれる製錬施設及びその敷地</w:t>
      </w:r>
    </w:p>
    <w:p>
      <w:pPr>
        <w:pStyle w:val="ListBullet"/>
        <w:ind w:left="880"/>
      </w:pPr>
      <w:r>
        <w:t>四</w:t>
        <w:br/>
        <w:t>前号の施設のうち解体の対象となる施設及びその解体の方法</w:t>
      </w:r>
    </w:p>
    <w:p>
      <w:pPr>
        <w:pStyle w:val="ListBullet"/>
        <w:ind w:left="880"/>
      </w:pPr>
      <w:r>
        <w:t>五</w:t>
        <w:br/>
        <w:t>廃止措置に係る核燃料物質の譲渡し</w:t>
      </w:r>
    </w:p>
    <w:p>
      <w:pPr>
        <w:pStyle w:val="ListBullet"/>
        <w:ind w:left="880"/>
      </w:pPr>
      <w:r>
        <w:t>六</w:t>
        <w:br/>
        <w:t>廃止措置に係る核燃料物質による汚染の除去（核燃料物質による汚染の分布とその評価方法を含む。）</w:t>
      </w:r>
    </w:p>
    <w:p>
      <w:pPr>
        <w:pStyle w:val="ListBullet"/>
        <w:ind w:left="880"/>
      </w:pPr>
      <w:r>
        <w:t>七</w:t>
        <w:br/>
        <w:t>廃止措置において廃棄する核燃料物質又は核燃料物質によつて汚染された物の発生量の見込み及びその廃棄</w:t>
      </w:r>
    </w:p>
    <w:p>
      <w:pPr>
        <w:pStyle w:val="ListBullet"/>
        <w:ind w:left="880"/>
      </w:pPr>
      <w:r>
        <w:t>八</w:t>
        <w:br/>
        <w:t>廃止措置に伴う放射線被ばくの管理</w:t>
      </w:r>
    </w:p>
    <w:p>
      <w:pPr>
        <w:pStyle w:val="ListBullet"/>
        <w:ind w:left="880"/>
      </w:pPr>
      <w:r>
        <w:t>九</w:t>
        <w:br/>
        <w:t>廃止措置中の過失、機械又は装置の故障、浸水、地震、火災等があつた場合に発生することが想定される事故の種類、程度、影響等</w:t>
      </w:r>
    </w:p>
    <w:p>
      <w:pPr>
        <w:pStyle w:val="ListBullet"/>
        <w:ind w:left="880"/>
      </w:pPr>
      <w:r>
        <w:t>十</w:t>
        <w:br/>
        <w:t>廃止措置期間中に性能を維持すべき製錬施設（第七条の五の六において「性能維持施設」という。）及びその性能並びにその性能を維持すべき期間</w:t>
      </w:r>
    </w:p>
    <w:p>
      <w:pPr>
        <w:pStyle w:val="ListBullet"/>
        <w:ind w:left="880"/>
      </w:pPr>
      <w:r>
        <w:t>十一</w:t>
        <w:br/>
        <w:t>廃止措置に要する費用の見積り及びその資金の調達の方法</w:t>
      </w:r>
    </w:p>
    <w:p>
      <w:pPr>
        <w:pStyle w:val="ListBullet"/>
        <w:ind w:left="880"/>
      </w:pPr>
      <w:r>
        <w:t>十二</w:t>
        <w:br/>
        <w:t>廃止措置の実施体制</w:t>
      </w:r>
    </w:p>
    <w:p>
      <w:pPr>
        <w:pStyle w:val="ListBullet"/>
        <w:ind w:left="880"/>
      </w:pPr>
      <w:r>
        <w:t>十三</w:t>
        <w:br/>
        <w:t>廃止措置に係る品質マネジメントシステム</w:t>
      </w:r>
    </w:p>
    <w:p>
      <w:pPr>
        <w:pStyle w:val="ListBullet"/>
        <w:ind w:left="880"/>
      </w:pPr>
      <w:r>
        <w:t>十四</w:t>
        <w:br/>
        <w:t>廃止措置の工程</w:t>
      </w:r>
    </w:p>
    <w:p>
      <w:pPr>
        <w:pStyle w:val="ListBullet"/>
        <w:ind w:left="880"/>
      </w:pPr>
      <w:r>
        <w:t>十五</w:t>
        <w:br/>
        <w:t>廃止措置実施方針の変更の記録（作成若しくは変更又は第七条の五の五に基づく見直しを行つた日付、変更の内容及びその理由を含む。）</w:t>
      </w:r>
    </w:p>
    <w:p>
      <w:pPr>
        <w:pStyle w:val="Heading4"/>
      </w:pPr>
      <w:r>
        <w:t>第七条の五の四（廃止措置実施方針の公表）</w:t>
      </w:r>
    </w:p>
    <w:p>
      <w:r>
        <w:t>法第十二条の五の二第一項及び第三項の規定による公表は、廃止措置実施方針の作成又は変更を行つた後、遅滞なく、インターネットの利用により行うものとする。</w:t>
      </w:r>
    </w:p>
    <w:p>
      <w:pPr>
        <w:pStyle w:val="Heading4"/>
      </w:pPr>
      <w:r>
        <w:t>第七条の五の五（廃止措置実施方針の見直し）</w:t>
      </w:r>
    </w:p>
    <w:p>
      <w:r>
        <w:t>製錬事業者は、少なくとも五年ごとに、廃止措置実施方針の見直しを行い、必要があると認めるときは、これを変更しなければならない。</w:t>
      </w:r>
    </w:p>
    <w:p>
      <w:pPr>
        <w:pStyle w:val="Heading4"/>
      </w:pPr>
      <w:r>
        <w:t>第七条の五の六（廃止措置計画の認可の申請）</w:t>
      </w:r>
    </w:p>
    <w:p>
      <w:r>
        <w:t>法第十二条の六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廃止措置の対象となる製錬施設（以下「廃止措置対象施設」という。）及びその敷地</w:t>
      </w:r>
    </w:p>
    <w:p>
      <w:pPr>
        <w:pStyle w:val="ListBullet"/>
        <w:ind w:left="880"/>
      </w:pPr>
      <w:r>
        <w:t>四</w:t>
        <w:br/>
        <w:t>前号の施設のうち解体の対象となる施設及びその解体の方法</w:t>
      </w:r>
    </w:p>
    <w:p>
      <w:pPr>
        <w:pStyle w:val="ListBullet"/>
        <w:ind w:left="880"/>
      </w:pPr>
      <w:r>
        <w:t>五</w:t>
        <w:br/>
        <w:t>性能維持施設</w:t>
      </w:r>
    </w:p>
    <w:p>
      <w:pPr>
        <w:pStyle w:val="ListBullet"/>
        <w:ind w:left="880"/>
      </w:pPr>
      <w:r>
        <w:t>六</w:t>
        <w:br/>
        <w:t>性能維持施設の位置、構造及び設備並びにその性能並びにその性能を維持すべき期間</w:t>
      </w:r>
    </w:p>
    <w:p>
      <w:pPr>
        <w:pStyle w:val="ListBullet"/>
        <w:ind w:left="880"/>
      </w:pPr>
      <w:r>
        <w:t>七</w:t>
        <w:br/>
        <w:t>核燃料物質の管理及び譲渡し</w:t>
      </w:r>
    </w:p>
    <w:p>
      <w:pPr>
        <w:pStyle w:val="ListBullet"/>
        <w:ind w:left="880"/>
      </w:pPr>
      <w:r>
        <w:t>八</w:t>
        <w:br/>
        <w:t>核燃料物質による汚染の除去</w:t>
      </w:r>
    </w:p>
    <w:p>
      <w:pPr>
        <w:pStyle w:val="ListBullet"/>
        <w:ind w:left="880"/>
      </w:pPr>
      <w:r>
        <w:t>九</w:t>
        <w:br/>
        <w:t>核燃料物質又は核燃料物質によつて汚染された物の廃棄</w:t>
      </w:r>
    </w:p>
    <w:p>
      <w:pPr>
        <w:pStyle w:val="ListBullet"/>
        <w:ind w:left="880"/>
      </w:pPr>
      <w:r>
        <w:t>十</w:t>
        <w:br/>
        <w:t>廃止措置の工程</w:t>
      </w:r>
    </w:p>
    <w:p>
      <w:pPr>
        <w:pStyle w:val="ListBullet"/>
        <w:ind w:left="880"/>
      </w:pPr>
      <w:r>
        <w:t>十一</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既に核燃料物質（製錬施設を通常の方法により操作した後に回収されることなく滞留することとなる核燃料物質を除く。）を製錬施設から搬出していることを明らかにする資料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廃止措置中の過失、機械又は装置の故障、浸水、地震、火災等があつた場合に発生することが想定される事故の種類、程度、影響等に関する説明書</w:t>
      </w:r>
    </w:p>
    <w:p>
      <w:pPr>
        <w:pStyle w:val="ListBullet"/>
        <w:ind w:left="880"/>
      </w:pPr>
      <w:r>
        <w:t>五</w:t>
        <w:br/>
        <w:t>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第一項の申請書の提出部数は、正本一通及び写し各一通とする。</w:t>
      </w:r>
    </w:p>
    <w:p>
      <w:pPr>
        <w:pStyle w:val="Heading4"/>
      </w:pPr>
      <w:r>
        <w:t>第七条の五の七（廃止措置計画の変更の認可の申請）</w:t>
      </w:r>
    </w:p>
    <w:p>
      <w:r>
        <w:t>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変更に係る前条第一項第三号から第十一号までに掲げる事項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第一項の申請書の提出部数は、正本一通及び写し各一通とする。</w:t>
      </w:r>
    </w:p>
    <w:p>
      <w:pPr>
        <w:pStyle w:val="Heading4"/>
      </w:pPr>
      <w:r>
        <w:t>第七条の五の八（廃止措置計画に係る軽微な変更）</w:t>
      </w:r>
    </w:p>
    <w:p>
      <w:r>
        <w:t>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法第十二条の六第二項の規定により認可を受けた者は、前項の変更をしたときは、その変更の日から三十日以内に、その旨を原子力規制委員会に届け出なければならない。</w:t>
      </w:r>
    </w:p>
    <w:p>
      <w:pPr>
        <w:pStyle w:val="Heading4"/>
      </w:pPr>
      <w:r>
        <w:t>第七条の五の九（廃止措置計画の認可の基準）</w:t>
      </w:r>
    </w:p>
    <w:p>
      <w:r>
        <w:t>法第十二条の六第四項に規定する原子力規制委員会規則で定める基準は、次の各号に掲げるとおりとする。</w:t>
      </w:r>
    </w:p>
    <w:p>
      <w:pPr>
        <w:pStyle w:val="ListBullet"/>
        <w:ind w:left="880"/>
      </w:pPr>
      <w:r>
        <w:t>一</w:t>
        <w:br/>
        <w:t>製錬施設から核燃料物質（製錬施設を通常の方法により操作した後に回収されることなく滞留することとなる核燃料物質を除く。）が搬出されていること。</w:t>
      </w:r>
    </w:p>
    <w:p>
      <w:pPr>
        <w:pStyle w:val="ListBullet"/>
        <w:ind w:left="880"/>
      </w:pPr>
      <w:r>
        <w:t>二</w:t>
        <w:br/>
        <w:t>核燃料物質又は核燃料物質によつて汚染された物の管理、処理及び廃棄が適切なものであること。</w:t>
      </w:r>
    </w:p>
    <w:p>
      <w:pPr>
        <w:pStyle w:val="ListBullet"/>
        <w:ind w:left="880"/>
      </w:pPr>
      <w:r>
        <w:t>三</w:t>
        <w:br/>
        <w:t>廃止措置の実施が、核燃料物質又は核燃料物質によつて汚染された物による災害の防止上適切なものであること。</w:t>
      </w:r>
    </w:p>
    <w:p>
      <w:pPr>
        <w:pStyle w:val="Heading4"/>
      </w:pPr>
      <w:r>
        <w:t>第七条の五の十（廃止措置の終了の確認の申請）</w:t>
      </w:r>
    </w:p>
    <w:p>
      <w:r>
        <w:t>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製錬施設の解体の実施状況</w:t>
      </w:r>
    </w:p>
    <w:p>
      <w:pPr>
        <w:pStyle w:val="ListBullet"/>
        <w:ind w:left="880"/>
      </w:pPr>
      <w:r>
        <w:t>四</w:t>
        <w:br/>
        <w:t>核燃料物質による汚染の除去の実施状況</w:t>
      </w:r>
    </w:p>
    <w:p>
      <w:pPr>
        <w:pStyle w:val="ListBullet"/>
        <w:ind w:left="880"/>
      </w:pPr>
      <w:r>
        <w:t>五</w:t>
        <w:br/>
        <w:t>核燃料物質又は核燃料物質によつて汚染された物の廃棄の実施状況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第一項の申請書の提出部数は、正本一通及び写し各一通とする。</w:t>
      </w:r>
    </w:p>
    <w:p>
      <w:pPr>
        <w:pStyle w:val="Heading4"/>
      </w:pPr>
      <w:r>
        <w:t>第七条の五の十一（廃止措置の終了確認の基準）</w:t>
      </w:r>
    </w:p>
    <w:p>
      <w:r>
        <w:t>法第十二条の六第八項に規定する原子力規制委員会規則で定める基準は、次の各号に掲げるとおりとする。</w:t>
      </w:r>
    </w:p>
    <w:p>
      <w:pPr>
        <w:pStyle w:val="ListBullet"/>
        <w:ind w:left="880"/>
      </w:pPr>
      <w:r>
        <w:t>一</w:t>
        <w:br/>
        <w:t>廃止措置対象施設の敷地に係る土壌及び当該敷地に残存する施設が放射線による障害の防止の措置を必要としない状況にあること。</w:t>
      </w:r>
    </w:p>
    <w:p>
      <w:pPr>
        <w:pStyle w:val="ListBullet"/>
        <w:ind w:left="880"/>
      </w:pPr>
      <w:r>
        <w:t>二</w:t>
        <w:br/>
        <w:t>核燃料物質又は核燃料物質によつて汚染された物の廃棄が終了していること。</w:t>
      </w:r>
    </w:p>
    <w:p>
      <w:pPr>
        <w:pStyle w:val="ListBullet"/>
        <w:ind w:left="880"/>
      </w:pPr>
      <w:r>
        <w:t>三</w:t>
        <w:br/>
        <w:t>第六条第一項に規定する放射線管理記録の同条第五項の原子力規制委員会が指定する機関への引渡しが完了していること。</w:t>
      </w:r>
    </w:p>
    <w:p>
      <w:pPr>
        <w:pStyle w:val="Heading4"/>
      </w:pPr>
      <w:r>
        <w:t>第七条の五の十二（廃止措置終了確認証）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第七条の五の十三（旧製錬事業者等の廃止措置計画の認可の申請）</w:t>
      </w:r>
    </w:p>
    <w:p>
      <w:r>
        <w:t>法第十二条の七第二項の規定により廃止措置計画について認可を受けようとする者は、第七条の五の六の規定の例により申請書を原子力規制委員会に提出しなければならない。</w:t>
      </w:r>
    </w:p>
    <w:p>
      <w:pPr>
        <w:pStyle w:val="Heading4"/>
      </w:pPr>
      <w:r>
        <w:t>第七条の五の十四（旧製錬事業者等の廃止措置計画の提出期限）</w:t>
      </w:r>
    </w:p>
    <w:p>
      <w:r>
        <w:t>法第十二条の七第二項に規定する原子力規制委員会規則で定める期間は、六月とする。</w:t>
      </w:r>
    </w:p>
    <w:p>
      <w:pPr>
        <w:pStyle w:val="Heading4"/>
      </w:pPr>
      <w:r>
        <w:t>第七条の五の十五（旧製錬事業者等の廃止措置計画の変更の認可の申請）</w:t>
      </w:r>
    </w:p>
    <w:p>
      <w:r>
        <w:t>法第十二条の七第四項の規定により、法第十二条の七第二項の規定により認可を受けた廃止措置計画について変更の認可を受けようとする者は、第七条の五の七の規定の例により申請書を原子力規制委員会に提出しなければならない。</w:t>
      </w:r>
    </w:p>
    <w:p>
      <w:pPr>
        <w:pStyle w:val="Heading4"/>
      </w:pPr>
      <w:r>
        <w:t>第七条の五の十六（旧製錬事業者等の廃止措置計画の軽微な変更）</w:t>
      </w:r>
    </w:p>
    <w:p>
      <w:r>
        <w:t>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法第十二条の七第二項の規定により認可を受けた者は、前項の変更をしたときは、その変更の日から三十日以内に、その旨を原子力規制委員会に届け出なければならない。</w:t>
      </w:r>
    </w:p>
    <w:p>
      <w:pPr>
        <w:pStyle w:val="Heading4"/>
      </w:pPr>
      <w:r>
        <w:t>第七条の六（国際規制物資の使用の届出）</w:t>
      </w:r>
    </w:p>
    <w:p>
      <w:r>
        <w:t>製錬事業者は、国際規制物資を製錬の事業の用に供しようとするときは、法第六十一条の三第四項の規定により、その都度、次の各号に掲げる事項を記載した書類を当該国際規制物資を使用する工場又は事業所ごとに作成し、あらかじめ、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国際規制物資を使用する工場又は事業所の名称及び所在地</w:t>
      </w:r>
    </w:p>
    <w:p>
      <w:pPr>
        <w:pStyle w:val="ListBullet"/>
        <w:ind w:left="880"/>
      </w:pPr>
      <w:r>
        <w:t>三</w:t>
        <w:br/>
        <w:t>国際規制物資の種類及び数量</w:t>
      </w:r>
    </w:p>
    <w:p>
      <w:pPr>
        <w:pStyle w:val="ListBullet"/>
        <w:ind w:left="880"/>
      </w:pPr>
      <w:r>
        <w:t>四</w:t>
        <w:br/>
        <w:t>予定使用期間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5"/>
        <w:ind w:left="440"/>
      </w:pPr>
      <w:r>
        <w:t>３</w:t>
      </w:r>
    </w:p>
    <w:p>
      <w:pPr>
        <w:ind w:left="440"/>
      </w:pPr>
      <w:r>
        <w:t>第一項の届出に係る書類の提出部数は、正本一通及び副本二通とする。</w:t>
      </w:r>
    </w:p>
    <w:p>
      <w:pPr>
        <w:pStyle w:val="Heading4"/>
      </w:pPr>
      <w:r>
        <w:t>第七条の六の二（指定に関する規定の準用）</w:t>
      </w:r>
    </w:p>
    <w:p>
      <w:r>
        <w:t>実用発電用原子炉の設置、運転等に関する規則（昭和五十三年通商産業省令第七十七号）第百二十七条から第百三十三条までの規定は、第六条第五項の指定について準用する。</w:t>
      </w:r>
    </w:p>
    <w:p>
      <w:pPr>
        <w:pStyle w:val="Heading4"/>
      </w:pPr>
      <w:r>
        <w:t>第七条の七（事故故障等の報告）</w:t>
      </w:r>
    </w:p>
    <w:p>
      <w:r>
        <w:t>法第六十二条の三の規定により、製錬事業者（旧製錬事業者等を含む。次条及び第十二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核原料物質又は核燃料物質の盗取又は所在不明が生じたとき。</w:t>
      </w:r>
    </w:p>
    <w:p>
      <w:pPr>
        <w:pStyle w:val="ListBullet"/>
        <w:ind w:left="880"/>
      </w:pPr>
      <w:r>
        <w:t>二</w:t>
        <w:br/>
        <w:t>製錬施設の故障（製錬施設の使用に及ぼす支障が軽微なものを除く。）があつたとき。</w:t>
      </w:r>
    </w:p>
    <w:p>
      <w:pPr>
        <w:pStyle w:val="ListBullet"/>
        <w:ind w:left="880"/>
      </w:pPr>
      <w:r>
        <w:t>三</w:t>
        <w:br/>
        <w:t>核燃料物質又は核燃料物質によつて汚染された物が異常に漏えいしたとき。</w:t>
      </w:r>
    </w:p>
    <w:p>
      <w:pPr>
        <w:pStyle w:val="ListBullet"/>
        <w:ind w:left="880"/>
      </w:pPr>
      <w:r>
        <w:t>四</w:t>
        <w:br/>
        <w:t>放射線業務従事者について原子力規制委員会の定める線量限度を超え、又は超えるおそれのある被ばくがあつたとき。</w:t>
      </w:r>
    </w:p>
    <w:p>
      <w:pPr>
        <w:pStyle w:val="ListBullet"/>
        <w:ind w:left="880"/>
      </w:pPr>
      <w:r>
        <w:t>五</w:t>
        <w:br/>
        <w:t>前各号のほか、製錬施設に関し人の障害（放射線障害以外の障害であつて軽微なものを除く。）が発生し、又は発生するおそれがあるとき。</w:t>
      </w:r>
    </w:p>
    <w:p>
      <w:pPr>
        <w:pStyle w:val="Heading4"/>
      </w:pPr>
      <w:r>
        <w:t>第八条（危険時の措置）</w:t>
      </w:r>
    </w:p>
    <w:p>
      <w:r>
        <w:t>法第六十四条第一項の規定により、製錬事業者は、次の各号に掲げる応急の措置をとらなければならない。</w:t>
      </w:r>
    </w:p>
    <w:p>
      <w:pPr>
        <w:pStyle w:val="ListBullet"/>
        <w:ind w:left="880"/>
      </w:pPr>
      <w:r>
        <w:t>一</w:t>
        <w:br/>
        <w:t>製錬施設に火災が起こり、又はこれらの施設に延焼するおそれがある場合には、消火又は延焼の防止に努めるとともに直ちにその旨を消防吏員に通報すること。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ListBullet"/>
        <w:ind w:left="880"/>
      </w:pPr>
      <w:r>
        <w:t>三</w:t>
        <w:br/>
        <w:t>放射線障害の発生を防止するため必要がある場合には、製錬施設の内部にいる者及び附近にいる者に避難するよう警告すること。</w:t>
      </w:r>
    </w:p>
    <w:p>
      <w:pPr>
        <w:pStyle w:val="ListBullet"/>
        <w:ind w:left="880"/>
      </w:pPr>
      <w:r>
        <w:t>四</w:t>
        <w:br/>
        <w:t>汚染が生じた場合には、速やかにその広がりの防止及び除去を行うこと。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その他の放射線障害を防止するために必要な措置を講ずること。</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第十二条（報告の徴収）</w:t>
      </w:r>
    </w:p>
    <w:p>
      <w:r>
        <w:t>製錬事業者は、工場又は事業所ごとに、別記様式第一による報告書を、放射線業務従事者の一年間の線量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一月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第十三条（電磁的記録媒体による手続）</w:t>
      </w:r>
    </w:p>
    <w:p>
      <w:r>
        <w:t>第七条の四第二項の届出に係る書類の提出については、当該書類の提出に代えて、当該書類に記載すべきこととされている事項を記録した電磁的記録媒体（電磁的記録（電子的方法、磁気的方法その他の人の知覚によつて認識することができな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r>
        <w:br w:type="page"/>
      </w:r>
    </w:p>
    <w:p>
      <w:pPr>
        <w:pStyle w:val="Heading1"/>
      </w:pPr>
      <w:r>
        <w:t>附　則</w:t>
      </w:r>
    </w:p>
    <w:p>
      <w:r>
        <w:t>この命令は、公布の日から施行する。</w:t>
      </w:r>
    </w:p>
    <w:p>
      <w:r>
        <w:br w:type="page"/>
      </w:r>
    </w:p>
    <w:p>
      <w:pPr>
        <w:pStyle w:val="Heading1"/>
      </w:pPr>
      <w:r>
        <w:t>附則（昭和三四年一月二二日総理府・通商産業省令第一号）</w:t>
      </w:r>
    </w:p>
    <w:p>
      <w:r>
        <w:t>この命令は、公布の日から施行する。</w:t>
      </w:r>
    </w:p>
    <w:p>
      <w:r>
        <w:br w:type="page"/>
      </w:r>
    </w:p>
    <w:p>
      <w:pPr>
        <w:pStyle w:val="Heading1"/>
      </w:pPr>
      <w:r>
        <w:t>附則（昭和三五年九月三〇日総理府・通商産業省令第二号）</w:t>
      </w:r>
    </w:p>
    <w:p>
      <w:pPr>
        <w:pStyle w:val="Heading5"/>
        <w:ind w:left="440"/>
      </w:pPr>
      <w:r>
        <w:t>１</w:t>
      </w:r>
    </w:p>
    <w:p>
      <w:pPr>
        <w:ind w:left="440"/>
      </w:pPr>
      <w:r>
        <w:t>この命令は、昭和三十五年十月一日から施行する。</w:t>
      </w:r>
    </w:p>
    <w:p>
      <w:r>
        <w:br w:type="page"/>
      </w:r>
    </w:p>
    <w:p>
      <w:pPr>
        <w:pStyle w:val="Heading1"/>
      </w:pPr>
      <w:r>
        <w:t>附則（昭和三六年九月二九日総理府・通商産業省令第一号）</w:t>
      </w:r>
    </w:p>
    <w:p>
      <w:pPr>
        <w:pStyle w:val="Heading5"/>
        <w:ind w:left="440"/>
      </w:pPr>
      <w:r>
        <w:t>１</w:t>
      </w:r>
    </w:p>
    <w:p>
      <w:pPr>
        <w:ind w:left="440"/>
      </w:pPr>
      <w:r>
        <w:t>この命令は、昭和三十六年九月三十日から施行する。</w:t>
      </w:r>
    </w:p>
    <w:p>
      <w:r>
        <w:br w:type="page"/>
      </w:r>
    </w:p>
    <w:p>
      <w:pPr>
        <w:pStyle w:val="Heading1"/>
      </w:pPr>
      <w:r>
        <w:t>附則（昭和三八年一〇月五日総理府・通商産業省令第二号）</w:t>
      </w:r>
    </w:p>
    <w:p>
      <w:r>
        <w:t>この命令は、公布の日から施行する。</w:t>
      </w:r>
    </w:p>
    <w:p>
      <w:r>
        <w:br w:type="page"/>
      </w:r>
    </w:p>
    <w:p>
      <w:pPr>
        <w:pStyle w:val="Heading1"/>
      </w:pPr>
      <w:r>
        <w:t>附則（昭和四〇年一二月二八日総理府・通商産業省令第一号）</w:t>
      </w:r>
    </w:p>
    <w:p>
      <w:r>
        <w:t>この命令は、公布の日から施行する。</w:t>
      </w:r>
    </w:p>
    <w:p>
      <w:r>
        <w:br w:type="page"/>
      </w:r>
    </w:p>
    <w:p>
      <w:pPr>
        <w:pStyle w:val="Heading1"/>
      </w:pPr>
      <w:r>
        <w:t>附則（昭和四二年八月一日総理府・通商産業省令第二号）</w:t>
      </w:r>
    </w:p>
    <w:p>
      <w:r>
        <w:t>この命令は、公布の日から施行する。</w:t>
      </w:r>
    </w:p>
    <w:p>
      <w:r>
        <w:br w:type="page"/>
      </w:r>
    </w:p>
    <w:p>
      <w:pPr>
        <w:pStyle w:val="Heading1"/>
      </w:pPr>
      <w:r>
        <w:t>附則（昭和四二年九月二八日総理府・通商産業省令第四号）</w:t>
      </w:r>
    </w:p>
    <w:p>
      <w:r>
        <w:t>この命令は、昭和四十二年十月二日から施行する。</w:t>
      </w:r>
    </w:p>
    <w:p>
      <w:r>
        <w:br w:type="page"/>
      </w:r>
    </w:p>
    <w:p>
      <w:pPr>
        <w:pStyle w:val="Heading1"/>
      </w:pPr>
      <w:r>
        <w:t>附則（昭和四三年七月二〇日総理府・通商産業省令第二号）</w:t>
      </w:r>
    </w:p>
    <w:p>
      <w:r>
        <w:t>この命令は、公布の日から施行する。</w:t>
      </w:r>
    </w:p>
    <w:p>
      <w:r>
        <w:br w:type="page"/>
      </w:r>
    </w:p>
    <w:p>
      <w:pPr>
        <w:pStyle w:val="Heading1"/>
      </w:pPr>
      <w:r>
        <w:t>附則（昭和四四年三月一一日総理府・通商産業省令第一号）</w:t>
      </w:r>
    </w:p>
    <w:p>
      <w:r>
        <w:t>この命令は、公布の日から施行する。</w:t>
      </w:r>
    </w:p>
    <w:p>
      <w:r>
        <w:br w:type="page"/>
      </w:r>
    </w:p>
    <w:p>
      <w:pPr>
        <w:pStyle w:val="Heading1"/>
      </w:pPr>
      <w:r>
        <w:t>附則（昭和四六年三月三〇日総理府・通商産業省令第一号）</w:t>
      </w:r>
    </w:p>
    <w:p>
      <w:r>
        <w:t>この命令は、公布の日から施行する。</w:t>
      </w:r>
    </w:p>
    <w:p>
      <w:r>
        <w:br w:type="page"/>
      </w:r>
    </w:p>
    <w:p>
      <w:pPr>
        <w:pStyle w:val="Heading1"/>
      </w:pPr>
      <w:r>
        <w:t>附則（昭和五三年一二月二八日総理府・通商産業省令第五号）</w:t>
      </w:r>
    </w:p>
    <w:p>
      <w:r>
        <w:t>この命令は、原子力基本法等の一部を改正する法律（昭和五十三年法律第八十六号）附則第一条第三号に掲げる規定の施行の日（昭和五十四年一月四日）から施行する。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附則（昭和五五年一〇月二四日総理府・通商産業省令第四号）</w:t>
      </w:r>
    </w:p>
    <w:p>
      <w:r>
        <w:t>この命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附則（昭和六一年一一月二六日総理府・通商産業省令第四号）</w:t>
      </w:r>
    </w:p>
    <w:p>
      <w:r>
        <w:t>この命令は、公布の日から施行する。</w:t>
      </w:r>
    </w:p>
    <w:p>
      <w:r>
        <w:br w:type="page"/>
      </w:r>
    </w:p>
    <w:p>
      <w:pPr>
        <w:pStyle w:val="Heading1"/>
      </w:pPr>
      <w:r>
        <w:t>附則（平成元年三月三〇日総理府・通商産業省令第二号）</w:t>
      </w:r>
    </w:p>
    <w:p>
      <w:pPr>
        <w:pStyle w:val="Heading5"/>
        <w:ind w:left="440"/>
      </w:pPr>
      <w:r>
        <w:t>１</w:t>
      </w:r>
    </w:p>
    <w:p>
      <w:pPr>
        <w:ind w:left="440"/>
      </w:pPr>
      <w:r>
        <w:t>この命令は、平成元年四月一日から施行する。</w:t>
      </w:r>
    </w:p>
    <w:p>
      <w:pPr>
        <w:pStyle w:val="Heading5"/>
        <w:ind w:left="440"/>
      </w:pPr>
      <w:r>
        <w:t>２</w:t>
      </w:r>
    </w:p>
    <w:p>
      <w:pPr>
        <w:ind w:left="440"/>
      </w:pPr>
      <w:r>
        <w:t>この命令による改正後の核原料物質又は核燃料物質の製錬の事業に関する規則第十二条第一項の規定は、平成元年四月一日以後の期間について作成する報告書について適用し、同日前の期間について作成する報告書については、なお従前の例による。</w:t>
      </w:r>
    </w:p>
    <w:p>
      <w:r>
        <w:br w:type="page"/>
      </w:r>
    </w:p>
    <w:p>
      <w:pPr>
        <w:pStyle w:val="Heading1"/>
      </w:pPr>
      <w:r>
        <w:t>附則（平成元年五月一九日総理府・通商産業省令第五号）</w:t>
      </w:r>
    </w:p>
    <w:p>
      <w:r>
        <w:t>この命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附則（平成六年三月八日総理府・通商産業省令第一号）</w:t>
      </w:r>
    </w:p>
    <w:p>
      <w:r>
        <w:t>この命令は、平成六年四月一日から施行する。</w:t>
      </w:r>
    </w:p>
    <w:p>
      <w:r>
        <w:br w:type="page"/>
      </w:r>
    </w:p>
    <w:p>
      <w:pPr>
        <w:pStyle w:val="Heading1"/>
      </w:pPr>
      <w:r>
        <w:t>附則（平成六年五月二五日総理府・通商産業省令第二号）</w:t>
      </w:r>
    </w:p>
    <w:p>
      <w:r>
        <w:t>この命令は、平成六年六月一日から施行する。</w:t>
      </w:r>
    </w:p>
    <w:p>
      <w:r>
        <w:br w:type="page"/>
      </w:r>
    </w:p>
    <w:p>
      <w:pPr>
        <w:pStyle w:val="Heading1"/>
      </w:pPr>
      <w:r>
        <w:t>附則（平成八年七月一二日総理府・通商産業省令第二号）</w:t>
      </w:r>
    </w:p>
    <w:p>
      <w:r>
        <w:t>この命令は、核原料物質、核燃料物質及び原子炉の規制に関する法律及び放射性同位元素等による放射線障害の防止に関する法律の一部を改正する法律の施行の日（平成八年七月二十日）から施行する。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附則（平成一一年三月二九日総理府・通商産業省令第三号）</w:t>
      </w:r>
    </w:p>
    <w:p>
      <w:r>
        <w:t>この命令は、公布の日から施行する。</w:t>
      </w:r>
    </w:p>
    <w:p>
      <w:r>
        <w:br w:type="page"/>
      </w:r>
    </w:p>
    <w:p>
      <w:pPr>
        <w:pStyle w:val="Heading1"/>
      </w:pPr>
      <w:r>
        <w:t>附則（平成一一年一二月一六日総理府・通商産業省令第九号）</w:t>
      </w:r>
    </w:p>
    <w:p>
      <w:r>
        <w:t>この命令は、公布の日から施行する。</w:t>
      </w:r>
    </w:p>
    <w:p>
      <w:r>
        <w:br w:type="page"/>
      </w:r>
    </w:p>
    <w:p>
      <w:pPr>
        <w:pStyle w:val="Heading1"/>
      </w:pPr>
      <w:r>
        <w:t>附則（平成一二年四月一二日総理府・通商産業省令第三号）</w:t>
      </w:r>
    </w:p>
    <w:p>
      <w:r>
        <w:t>この命令は、核原料物質、核燃料物質及び原子炉の規制に関する法律の一部を改正する法律の施行の日（平成十二年七月一日）から施行する。</w:t>
      </w:r>
    </w:p>
    <w:p>
      <w:r>
        <w:br w:type="page"/>
      </w:r>
    </w:p>
    <w:p>
      <w:pPr>
        <w:pStyle w:val="Heading1"/>
      </w:pPr>
      <w:r>
        <w:t>附則（平成一二年六月一六日総理府・通商産業省令第四号）</w:t>
      </w:r>
    </w:p>
    <w:p>
      <w:r>
        <w:t>この命令は、公布の日から施行する。</w:t>
      </w:r>
    </w:p>
    <w:p>
      <w:r>
        <w:br w:type="page"/>
      </w:r>
    </w:p>
    <w:p>
      <w:pPr>
        <w:pStyle w:val="Heading1"/>
      </w:pPr>
      <w:r>
        <w:t>附則（平成一二年一一月七日総理府・通商産業省令第一四号）</w:t>
      </w:r>
    </w:p>
    <w:p>
      <w:r>
        <w:t>この命令は、内閣法の一部を改正する法律（平成十一年法律第八十八号）の施行の日（平成十三年一月六日）から施行する。</w:t>
      </w:r>
    </w:p>
    <w:p>
      <w:r>
        <w:br w:type="page"/>
      </w:r>
    </w:p>
    <w:p>
      <w:pPr>
        <w:pStyle w:val="Heading1"/>
      </w:pPr>
      <w:r>
        <w:t>附則（平成一三年三月二七日経済産業省令第四六号）</w:t>
      </w:r>
    </w:p>
    <w:p>
      <w:r>
        <w:t>この省令は、平成十三年四月一日から施行する。</w:t>
      </w:r>
    </w:p>
    <w:p>
      <w:r>
        <w:br w:type="page"/>
      </w:r>
    </w:p>
    <w:p>
      <w:pPr>
        <w:pStyle w:val="Heading1"/>
      </w:pPr>
      <w:r>
        <w:t>附則（平成一四年三月五日経済産業省令第二八号）</w:t>
      </w:r>
    </w:p>
    <w:p>
      <w:r>
        <w:t>この省令は、平成十四年三月十一日から施行する。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附則（平成一七年一一月二二日経済産業省令第一〇二号）</w:t>
      </w:r>
    </w:p>
    <w:p>
      <w:pPr>
        <w:pStyle w:val="Heading4"/>
      </w:pPr>
      <w:r>
        <w:t>第一条（施行期日）</w:t>
      </w:r>
    </w:p>
    <w:p>
      <w:r>
        <w:t>この省令は、核原料物質、核燃料物質及び原子炉の規制に関する法律の一部を改正する法律（平成十七年法律第四十四号）の施行の日（平成十七年十二月一日）から施行する。</w:t>
        <w:br/>
        <w:t>ただし、第六条の二の改正規定（「第十一条の三第一項」を「第十一条の二第一項」に改める部分及び「第一条の二第三号」を「第二条第三号」に改める部分を除く。）及び第七条の三第一項の改正規定は、平成十八年六月一日から施行する。</w:t>
      </w:r>
    </w:p>
    <w:p>
      <w:pPr>
        <w:pStyle w:val="Heading4"/>
      </w:pPr>
      <w:r>
        <w:t>第二条（核物質防護規定に係る経過措置）</w:t>
      </w:r>
    </w:p>
    <w:p>
      <w:r>
        <w:t>この省令の公布の際現に法第十二条の二第一項の規定により核物質防護規定の認可を受けている者は、平成十八年二月二十八日までに、この省令による改正後の核原料物質又は核燃料物質の製錬の事業に関する規則第七条の三第一項の規定の例により核物質防護規定を定め、これを記載した申請書を経済産業大臣に提出しなければならない。</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核原料物質又は核燃料物質の製錬の事業に関する規則</w:t>
      <w:br/>
      <w:tab/>
      <w:t>（昭和三十二年総理府・通商産業省令第一号）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核原料物質又は核燃料物質の製錬の事業に関する規則（昭和三十二年総理府・通商産業省令第一号）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