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植物防疫法施行令</w:t>
        <w:br/>
        <w:t>（昭和五十一年政令第百四十六号）</w:t>
      </w:r>
    </w:p>
    <w:p>
      <w:pPr>
        <w:pStyle w:val="Heading4"/>
      </w:pPr>
      <w:r>
        <w:t>第一条（病害虫防除所の基準）</w:t>
      </w:r>
    </w:p>
    <w:p>
      <w:r>
        <w:t>法第三十二条第五項の政令で定める基準は、双眼実体顕微鏡、理化学用の滅菌器その他有害動物又は有害植物の種類を迅速かつ的確に識別するために必要なものとして農林水産大臣の定める設備又は器具を有するものであることとする。</w:t>
      </w:r>
    </w:p>
    <w:p>
      <w:pPr>
        <w:pStyle w:val="Heading4"/>
      </w:pPr>
      <w:r>
        <w:t>第二条（交付金の交付基準）</w:t>
      </w:r>
    </w:p>
    <w:p>
      <w:r>
        <w:t>法第三十五条第二項の政令で定める基準は、次のとおりとする。</w:t>
      </w:r>
    </w:p>
    <w:p>
      <w:pPr>
        <w:pStyle w:val="Heading6"/>
        <w:ind w:left="880"/>
      </w:pPr>
      <w:r>
        <w:t>一</w:t>
      </w:r>
    </w:p>
    <w:p>
      <w:pPr>
        <w:ind w:left="880"/>
      </w:pPr>
      <w:r>
        <w:t>当該予算総額の四割は、各都道府県の農家数に応じて各都道府県に配分する。</w:t>
      </w:r>
    </w:p>
    <w:p>
      <w:pPr>
        <w:pStyle w:val="Heading6"/>
        <w:ind w:left="880"/>
      </w:pPr>
      <w:r>
        <w:t>二</w:t>
      </w:r>
    </w:p>
    <w:p>
      <w:pPr>
        <w:ind w:left="880"/>
      </w:pPr>
      <w:r>
        <w:t>当該予算総額の二割は、各都道府県の農地面積に応じて各都道府県に配分する。</w:t>
      </w:r>
    </w:p>
    <w:p>
      <w:pPr>
        <w:pStyle w:val="Heading6"/>
        <w:ind w:left="880"/>
      </w:pPr>
      <w:r>
        <w:t>三</w:t>
      </w:r>
    </w:p>
    <w:p>
      <w:pPr>
        <w:ind w:left="880"/>
      </w:pPr>
      <w:r>
        <w:t>当該予算総額の二割は、各都道府県の市町村数に応じて各都道府県に配分する。</w:t>
      </w:r>
    </w:p>
    <w:p>
      <w:pPr>
        <w:pStyle w:val="Heading6"/>
        <w:ind w:left="880"/>
      </w:pPr>
      <w:r>
        <w:t>四</w:t>
      </w:r>
    </w:p>
    <w:p>
      <w:pPr>
        <w:ind w:left="880"/>
      </w:pPr>
      <w:r>
        <w:t>当該予算総額の二割は、有害動物又は有害植物のまん延に対処するためその他農業生産の安全及び助長を図るため緊急に植物の検疫、防除及び発生予察事業を行うことを必要とする都道府県に配分する。</w:t>
      </w:r>
    </w:p>
    <w:p>
      <w:r>
        <w:br w:type="page"/>
      </w:r>
    </w:p>
    <w:p>
      <w:pPr>
        <w:pStyle w:val="Heading1"/>
      </w:pPr>
      <w:r>
        <w:t>附　則</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則（昭和六〇年五月一八日政令第一二八号）</w:t>
      </w:r>
    </w:p>
    <w:p>
      <w:r>
        <w:t>この政令は、公布の日から施行する。</w:t>
      </w:r>
    </w:p>
    <w:p>
      <w:r>
        <w:br w:type="page"/>
      </w:r>
    </w:p>
    <w:p>
      <w:pPr>
        <w:pStyle w:val="Heading1"/>
      </w:pPr>
      <w:r>
        <w:t>附　則（平成八年一二月二〇日政令第三四〇号）</w:t>
      </w:r>
    </w:p>
    <w:p>
      <w:r>
        <w:t>この政令は、植物防疫法の一部を改正する法律（平成八年法律第六十七号）の施行の日（平成九年四月一日）から施行する。</w:t>
      </w:r>
    </w:p>
    <w:p>
      <w:r>
        <w:br w:type="page"/>
      </w:r>
    </w:p>
    <w:p>
      <w:pPr>
        <w:pStyle w:val="Heading1"/>
      </w:pPr>
      <w:r>
        <w:t>附　則（平成一〇年四月三〇日政令第一六七号）</w:t>
      </w:r>
    </w:p>
    <w:p>
      <w:r>
        <w:t>この政令は、公布の日から施行する。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植物防疫法施行令</w:t>
      <w:br/>
      <w:tab/>
      <w:t>（昭和五十一年政令第百四十六号）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植物防疫法施行令（昭和五十一年政令第百四十六号）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