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歯科衛生士法施行令</w:t>
        <w:br/>
        <w:t>（平成三年政令第二百二十六号）</w:t>
      </w:r>
    </w:p>
    <w:p>
      <w:pPr>
        <w:pStyle w:val="Heading4"/>
      </w:pPr>
      <w:r>
        <w:t>第一条（免許に関する事項の登録等の手数料）</w:t>
      </w:r>
    </w:p>
    <w:p>
      <w:r>
        <w:t>歯科衛生士法（以下「法」という。）第八条の六第二項の政令で定める手数料の額は、次の各号に掲げる者の区分に応じ、それぞれ当該各号に定める額とする。</w:t>
      </w:r>
    </w:p>
    <w:p>
      <w:pPr>
        <w:pStyle w:val="Heading6"/>
        <w:ind w:left="880"/>
      </w:pPr>
      <w:r>
        <w:t>一</w:t>
      </w:r>
    </w:p>
    <w:p>
      <w:pPr>
        <w:ind w:left="880"/>
      </w:pPr>
      <w:r>
        <w:t>歯科衛生士の登録を受けようとする者</w:t>
      </w:r>
    </w:p>
    <w:p>
      <w:pPr>
        <w:pStyle w:val="Heading6"/>
        <w:ind w:left="880"/>
      </w:pPr>
      <w:r>
        <w:t>二</w:t>
      </w:r>
    </w:p>
    <w:p>
      <w:pPr>
        <w:ind w:left="880"/>
      </w:pPr>
      <w:r>
        <w:t>歯科衛生士免許証又は歯科衛生士免許証明書（次号において「免許証等」という。）の書換え交付を受けようとする者</w:t>
      </w:r>
    </w:p>
    <w:p>
      <w:pPr>
        <w:pStyle w:val="Heading6"/>
        <w:ind w:left="880"/>
      </w:pPr>
      <w:r>
        <w:t>三</w:t>
      </w:r>
    </w:p>
    <w:p>
      <w:pPr>
        <w:ind w:left="880"/>
      </w:pPr>
      <w:r>
        <w:t>免許証等の再交付を受けようとする者</w:t>
      </w:r>
    </w:p>
    <w:p>
      <w:pPr>
        <w:pStyle w:val="Heading4"/>
      </w:pPr>
      <w:r>
        <w:t>第二条（学校又は養成所の指定）</w:t>
      </w:r>
    </w:p>
    <w:p>
      <w:r>
        <w:t>行政庁は、法第十二条第一号に規定する歯科衛生士学校又は同条第二号に規定する歯科衛生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歯科衛生士養成所の指定をしたときは、遅滞なく、当該歯科衛生士養成所の名称及び位置、指定をした年月日その他の主務省令で定める事項を厚生労働大臣に報告するものとする。</w:t>
      </w:r>
    </w:p>
    <w:p>
      <w:pPr>
        <w:pStyle w:val="Heading4"/>
      </w:pPr>
      <w:r>
        <w:t>第三条（指定の申請）</w:t>
      </w:r>
    </w:p>
    <w:p>
      <w:r>
        <w:t>前条第一項の学校養成所の指定を受けようとするときは、その設置者は、申請書を、行政庁に提出しなければならない。</w:t>
      </w:r>
    </w:p>
    <w:p>
      <w:pPr>
        <w:pStyle w:val="Heading4"/>
      </w:pPr>
      <w:r>
        <w:t>第四条（変更の承認又は届出）</w:t>
      </w:r>
    </w:p>
    <w:p>
      <w:r>
        <w:t>第二条第一項の指定を受けた学校養成所（以下「指定学校養成所」という。）の設置者は、主務省令で定める事項を変更しようとするときは、行政庁に申請し、その承認を受けなければならない。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指定学校養成所の設置者は、主務省令で定める事項に変更があったときは、その日から一月以内に、行政庁に届け出なければならない。</w:t>
      </w:r>
    </w:p>
    <w:p>
      <w:pPr>
        <w:pStyle w:val="Heading5"/>
        <w:ind w:left="440"/>
      </w:pPr>
      <w:r>
        <w:t>３</w:t>
      </w:r>
    </w:p>
    <w:p>
      <w:pPr>
        <w:ind w:left="440"/>
      </w:pPr>
      <w:r>
        <w:t>都道府県知事は、第一項の規定により、第二条第一項の指定を受けた歯科衛生士養成所（以下この項及び第八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第五条（報告）</w:t>
      </w:r>
    </w:p>
    <w:p>
      <w:r>
        <w:t>指定学校養成所の設置者は、毎学年度開始後二月以内に、主務省令で定める事項を、行政庁に報告しなければならない。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第六条（報告の要求又は検査）</w:t>
      </w:r>
    </w:p>
    <w:p>
      <w:r>
        <w:t>行政庁は、指定学校養成所の設置者又は長に対し、教育又は経営の状況等に関して必要な報告を命じ、又は当該職員に必要な検査をさせることができる。</w:t>
      </w:r>
    </w:p>
    <w:p>
      <w:pPr>
        <w:pStyle w:val="Heading5"/>
        <w:ind w:left="440"/>
      </w:pPr>
      <w:r>
        <w:t>２</w:t>
      </w:r>
    </w:p>
    <w:p>
      <w:pPr>
        <w:ind w:left="440"/>
      </w:pPr>
      <w:r>
        <w:t>前項の検査をする職員は、その身分を示す証票を携帯しなければならない。</w:t>
      </w:r>
    </w:p>
    <w:p>
      <w:pPr>
        <w:pStyle w:val="Heading4"/>
      </w:pPr>
      <w:r>
        <w:t>第七条（指示）</w:t>
      </w:r>
    </w:p>
    <w:p>
      <w:r>
        <w:t>行政庁は、第二条第一項に規定する主務省令で定める基準に照らして、指定学校養成所の教育の内容、施設若しくは設備又は運営が適当でないと認めるときは、設置者又は長に対して必要な指示をすることができる。</w:t>
      </w:r>
    </w:p>
    <w:p>
      <w:pPr>
        <w:pStyle w:val="Heading4"/>
      </w:pPr>
      <w:r>
        <w:t>第八条（指定の取消し）</w:t>
      </w:r>
    </w:p>
    <w:p>
      <w:r>
        <w:t>行政庁は、指定学校養成所が第二条第一項に規定する主務省令で定める基準に適合しなくなったと認めるとき、若しくはその設置者若しくは長が前条の規定による行政庁の指示に従わないとき、又は次条の規定による申請があっ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第八条の二（指定取消しの申請）</w:t>
      </w:r>
    </w:p>
    <w:p>
      <w:r>
        <w:t>指定学校養成所について、行政庁の指定の取消しを受けようとするときは、その設置者は、申請書を、行政庁に提出しなければならない。</w:t>
      </w:r>
    </w:p>
    <w:p>
      <w:pPr>
        <w:pStyle w:val="Heading4"/>
      </w:pPr>
      <w:r>
        <w:t>第九条（国の設置する学校養成所の特例）</w:t>
      </w:r>
    </w:p>
    <w:p>
      <w:r>
        <w:t>国の設置する学校養成所に係る第二条から前条までの規定の適用については、次の表の上欄に掲げる規定中同表の中欄に掲げる字句は、それぞれ同表の下欄に掲げる字句と読み替えるものとする。</w:t>
      </w:r>
    </w:p>
    <w:p>
      <w:pPr>
        <w:pStyle w:val="Heading4"/>
      </w:pPr>
      <w:r>
        <w:t>第十条（主務省令への委任）</w:t>
      </w:r>
    </w:p>
    <w:p>
      <w:r>
        <w:t>第二条から前条までに定めるもののほか、申請書の記載事項その他学校養成所の指定に関して必要な事項は、主務省令で定める。</w:t>
      </w:r>
    </w:p>
    <w:p>
      <w:pPr>
        <w:pStyle w:val="Heading4"/>
      </w:pPr>
      <w:r>
        <w:t>第十一条（行政庁等）</w:t>
      </w:r>
    </w:p>
    <w:p>
      <w:r>
        <w:t>この政令における行政庁は、法第十二条第一号の規定による歯科衛生士学校の指定に関する事項については文部科学大臣とし、同条第二号の規定による歯科衛生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第十二条（受験手数料）</w:t>
      </w:r>
    </w:p>
    <w:p>
      <w:r>
        <w:t>法第十二条の三第一項の政令で定める受験手数料の額は、一万四千三百円とする。</w:t>
      </w:r>
    </w:p>
    <w:p>
      <w:pPr>
        <w:pStyle w:val="Heading4"/>
      </w:pPr>
      <w:r>
        <w:t>第十三条（事務の区分）</w:t>
      </w:r>
    </w:p>
    <w:p>
      <w:r>
        <w:t>第三条後段、第四条第一項後段及び第二項後段、第五条第一項後段並びに第八条の二後段の規定により都道府県が処理することとされている事務は、地方自治法（昭和二十二年法律第六十七号）第二条第九項第一号に規定する第一号法定受託事務とする。</w:t>
      </w:r>
    </w:p>
    <w:p>
      <w:pPr>
        <w:pStyle w:val="Heading4"/>
      </w:pPr>
      <w:r>
        <w:t>第十四条（権限の委任）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この政令は、平成三年七月一日から施行する。</w:t>
      </w:r>
    </w:p>
    <w:p>
      <w:pPr>
        <w:pStyle w:val="Heading5"/>
        <w:ind w:left="440"/>
      </w:pPr>
      <w:r>
        <w:t>２</w:t>
      </w:r>
    </w:p>
    <w:p>
      <w:pPr>
        <w:ind w:left="440"/>
      </w:pPr>
      <w:r>
        <w:t>法附則第三項の政令で定める期間は、五年（二年の据置期間を含む。）とする。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法附則第六項の政令で定める場合は、前項の規定により償還期限を繰り上げて償還を行った場合とする。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歯科衛生士法施行令</w:t>
      <w:br/>
      <w:tab/>
      <w:t>（平成三年政令第二百二十六号）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歯科衛生士法施行令（平成三年政令第二百二十六号）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