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母子家庭の母及び父子家庭の父の就業の支援に関する特別措置法第六条の法人を定める政令</w:t>
        <w:br/>
        <w:t>（平成二十五年政令第三号）</w:t>
      </w:r>
    </w:p>
    <w:p>
      <w:r>
        <w:t>母子家庭の母及び父子家庭の父の就業の支援に関する特別措置法第六条の政令で定める法人は、次のとおりとする。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日本私立学校振興・共済事業団</w:t>
      </w:r>
    </w:p>
    <w:p>
      <w:pPr>
        <w:pStyle w:val="Heading6"/>
        <w:ind w:left="880"/>
      </w:pPr>
      <w:r>
        <w:t>三</w:t>
      </w:r>
    </w:p>
    <w:p>
      <w:pPr>
        <w:ind w:left="880"/>
      </w:pPr>
      <w:r>
        <w:t>沖縄振興開発金融公庫</w:t>
      </w:r>
    </w:p>
    <w:p>
      <w:pPr>
        <w:pStyle w:val="Heading6"/>
        <w:ind w:left="880"/>
      </w:pPr>
      <w:r>
        <w:t>四</w:t>
      </w:r>
    </w:p>
    <w:p>
      <w:pPr>
        <w:ind w:left="880"/>
      </w:pPr>
      <w:r>
        <w:t>株式会社国際協力銀行及び株式会社日本政策金融公庫</w:t>
      </w:r>
    </w:p>
    <w:p>
      <w:pPr>
        <w:pStyle w:val="Heading6"/>
        <w:ind w:left="880"/>
      </w:pPr>
      <w:r>
        <w:t>五</w:t>
      </w:r>
    </w:p>
    <w:p>
      <w:pPr>
        <w:ind w:left="880"/>
      </w:pPr>
      <w:r>
        <w:t>日本中央競馬会及び日本年金機構</w:t>
      </w:r>
    </w:p>
    <w:p>
      <w:r>
        <w:br w:type="page"/>
      </w:r>
    </w:p>
    <w:p>
      <w:pPr>
        <w:pStyle w:val="Heading1"/>
      </w:pPr>
      <w:r>
        <w:t>附　則</w:t>
      </w:r>
    </w:p>
    <w:p>
      <w:r>
        <w:t>この政令は、母子家庭の母及び父子家庭の父の就業の支援に関する特別措置法の施行の日（平成二十五年三月一日）から施行する。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母子家庭の母及び父子家庭の父の就業の支援に関する特別措置法第六条の法人を定める政令</w:t>
      <w:br/>
      <w:tab/>
      <w:t>（平成二十五年政令第三号）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母子家庭の母及び父子家庭の父の就業の支援に関する特別措置法第六条の法人を定める政令（平成二十五年政令第三号）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