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民事訴訟費用等に関する法律に基づく手数料の納付手続の特例に関する省令</w:t>
        <w:br/>
        <w:t>（平成十五年財務省令第百六号）</w:t>
      </w:r>
    </w:p>
    <w:p>
      <w:r>
        <w:t>歳入徴収官及び歳入徴収官代理は、当事者、事件の関係人又はその他の者が民事訴訟費用等に関する法律（昭和四十六年法律第四十号）第三条又は第七条の規定による手数料を同法第八条ただし書きの規定により納付する場合は、別紙書式の納付書により納付させるものとする。</w:t>
      </w:r>
    </w:p>
    <w:p>
      <w:r>
        <w:br w:type="page"/>
      </w:r>
    </w:p>
    <w:p>
      <w:pPr>
        <w:pStyle w:val="Heading1"/>
      </w:pPr>
      <w:r>
        <w:t>附　則</w:t>
      </w:r>
    </w:p>
    <w:p>
      <w:r>
        <w:t>この省令は、平成十六年一月一日から施行する。</w:t>
      </w:r>
    </w:p>
    <w:p>
      <w:r>
        <w:br w:type="page"/>
      </w:r>
    </w:p>
    <w:p>
      <w:pPr>
        <w:pStyle w:val="Heading1"/>
      </w:pPr>
      <w:r>
        <w:t>附　則（平成一八年八月三〇日財務省令第五五号）</w:t>
      </w:r>
    </w:p>
    <w:p>
      <w:r>
        <w:t>この省令は、平成十八年九月一日から施行する。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民事訴訟費用等に関する法律に基づく手数料の納付手続の特例に関する省令</w:t>
      <w:br/>
      <w:tab/>
      <w:t>（平成十五年財務省令第百六号）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民事訴訟費用等に関する法律に基づく手数料の納付手続の特例に関する省令（平成十五年財務省令第百六号）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