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民法第九百九条の二に規定する法務省令で定める額を定める省令</w:t>
        <w:br/>
        <w:t>（平成三十年法務省令第二十九号）</w:t>
      </w:r>
    </w:p>
    <w:p>
      <w:r>
        <w:t>民法第九百九条の二に規定する法務省令で定める額は、百五十万円とする。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この省令は、民法及び家事事件手続法の一部を改正する法律（平成三十年法律第七十二号）の施行の日から施行する。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民法第九百九条の二に規定する法務省令で定める額を定める省令</w:t>
      <w:br/>
      <w:tab/>
      <w:t>（平成三十年法務省令第二十九号）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民法第九百九条の二に規定する法務省令で定める額を定める省令（平成三十年法務省令第二十九号）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