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水俣病の認定業務の促進に関する臨時措置法施行令</w:t>
        <w:br/>
        <w:t>（昭和五十四年政令第十八号）</w:t>
      </w:r>
    </w:p>
    <w:p>
      <w:pPr>
        <w:pStyle w:val="Heading4"/>
      </w:pPr>
      <w:r>
        <w:t>第一条（審議会等で政令で定めるもの）</w:t>
      </w:r>
    </w:p>
    <w:p>
      <w:r>
        <w:t>水俣病の認定業務の促進に関する臨時措置法（以下「法」という。）第二条第二項の審議会等で政令で定めるものは、臨時水俣病認定審査会とする。</w:t>
      </w:r>
    </w:p>
    <w:p>
      <w:pPr>
        <w:pStyle w:val="Heading4"/>
      </w:pPr>
      <w:r>
        <w:t>第二条（認定の効力）</w:t>
      </w:r>
    </w:p>
    <w:p>
      <w:r>
        <w:t>法第二条第二項の規定による認定を受けた者は、同項の県知事等の公害健康被害の補償等に関する法律（昭和四十八年法律第百十一号）第四条第二項の規定による認定を受けた者とみなす。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この政令は、法の施行の日（昭和五十四年二月十四日）から施行する。</w:t>
      </w:r>
    </w:p>
    <w:p>
      <w:r>
        <w:br w:type="page"/>
      </w:r>
    </w:p>
    <w:p>
      <w:pPr>
        <w:pStyle w:val="Heading1"/>
      </w:pPr>
      <w:r>
        <w:t>附　則（昭和五九年五月八日政令第一二八号）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則（昭和六二年一一月四日政令第三六八号）</w:t>
      </w:r>
    </w:p>
    <w:p>
      <w:pPr>
        <w:pStyle w:val="Heading4"/>
      </w:pPr>
      <w:r>
        <w:t>第一条（施行期日）</w:t>
      </w:r>
    </w:p>
    <w:p>
      <w:r>
        <w:t>この政令は、昭和六十三年三月一日から施行する。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則（平成一二年六月七日政令第三一三号）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水俣病の認定業務の促進に関する臨時措置法施行令</w:t>
      <w:br/>
      <w:tab/>
      <w:t>（昭和五十四年政令第十八号）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水俣病の認定業務の促進に関する臨時措置法施行令（昭和五十四年政令第十八号）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