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水路業務法施行令</w:t>
        <w:br/>
        <w:t>（平成十三年政令第四百三十三号）</w:t>
      </w:r>
    </w:p>
    <w:p>
      <w:pPr>
        <w:pStyle w:val="Heading4"/>
      </w:pPr>
      <w:r>
        <w:t>第一条（水路測量の事項及びその測量の基準）</w:t>
      </w:r>
    </w:p>
    <w:p>
      <w:r>
        <w:t>水路業務法（以下「法」という。）第九条第一項の政令で定める事項は、次の表の上欄に掲げるとおりとし、同項の政令で定める測量の基準は、当該事項ごとにそれぞれ同表の下欄に掲げるとおりとする。</w:t>
      </w:r>
    </w:p>
    <w:p>
      <w:pPr>
        <w:pStyle w:val="Heading4"/>
      </w:pPr>
      <w:r>
        <w:t>第二条（長半径及び扁へん</w:t>
        <w:br/>
        <w:t>平率）</w:t>
      </w:r>
    </w:p>
    <w:p>
      <w:r>
        <w:t>法第九条第二項第一号の政令で定める値は、次のとおりとする。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長半径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扁平率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この政令は、測量法及び水路業務法の一部を改正する法律の施行の日（平成十四年四月一日）から施行する。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水路業務法施行令</w:t>
      <w:br/>
      <w:tab/>
      <w:t>（平成十三年政令第四百三十三号）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水路業務法施行令（平成十三年政令第四百三十三号）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