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水銀による環境の汚染の防止に関する法律の規定に基づく立入検査等をする職員の携帯する身分を示す証明書の様式を定める命令</w:t>
        <w:br/>
        <w:t>（平成二十七年内閣府・総務省・法務省・外務省・財務省・文部科学省・厚生労働省・農林水産省・経済産業省・国土交通省・環境省・防衛省令第四号）</w:t>
      </w:r>
    </w:p>
    <w:p>
      <w:r>
        <w:t>主務大臣がその職員に携帯させる水銀による環境の汚染の防止に関する法律（以下「法」という。）第二十六条第二項の証明書は、別記様式によるものとする。</w:t>
      </w:r>
    </w:p>
    <w:p>
      <w:r>
        <w:br w:type="page"/>
      </w:r>
    </w:p>
    <w:p>
      <w:pPr>
        <w:pStyle w:val="Heading1"/>
      </w:pPr>
      <w:r>
        <w:t>附　則</w:t>
      </w:r>
    </w:p>
    <w:p>
      <w:r>
        <w:t>この命令は、法の施行の日から施行する。</w:t>
      </w:r>
    </w:p>
    <w:p>
      <w:r>
        <w:br w:type="page"/>
      </w:r>
    </w:p>
    <w:p>
      <w:pPr>
        <w:pStyle w:val="Heading1"/>
      </w:pPr>
      <w:r>
        <w:t>附　則（令和元年六月二八日内閣府・総務省・法務省・外務省・財務省・文部科学省・厚生労働省・農林水産省・経済産業省・国土交通省・環境省・防衛省令第一号）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水銀による環境の汚染の防止に関する法律の規定に基づく立入検査等をする職員の携帯する身分を示す証明書の様式を定める命令</w:t>
      <w:br/>
      <w:tab/>
      <w:t>（平成二十七年内閣府・総務省・法務省・外務省・財務省・文部科学省・厚生労働省・農林水産省・経済産業省・国土交通省・環境省・防衛省令第四号）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銀による環境の汚染の防止に関する法律の規定に基づく立入検査等をする職員の携帯する身分を示す証明書の様式を定める命令（平成二十七年内閣府・総務省・法務省・外務省・財務省・文部科学省・厚生労働省・農林水産省・経済産業省・国土交通省・環境省・防衛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