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沖縄科学技術大学院大学学園法施行規則</w:t>
        <w:br/>
        <w:t>（平成二十三年内閣府令第五十九号）</w:t>
      </w:r>
    </w:p>
    <w:p>
      <w:pPr>
        <w:pStyle w:val="Heading4"/>
      </w:pPr>
      <w:r>
        <w:t>第一条（事業計画の作成）</w:t>
      </w:r>
    </w:p>
    <w:p>
      <w:r>
        <w:t>沖縄科学技術大学院大学学園法（以下「法」という。）第九条第一項に規定する事業計画には、次に掲げる事項に関する計画を記載しなければならない。</w:t>
      </w:r>
    </w:p>
    <w:p>
      <w:pPr>
        <w:pStyle w:val="ListBullet"/>
        <w:ind w:left="880"/>
      </w:pPr>
      <w:r>
        <w:t>一</w:t>
        <w:br/>
        <w:t>沖縄科学技術大学院大学における教育研究に関する事項</w:t>
      </w:r>
    </w:p>
    <w:p>
      <w:pPr>
        <w:pStyle w:val="ListBullet"/>
        <w:ind w:left="880"/>
      </w:pPr>
      <w:r>
        <w:t>二</w:t>
        <w:br/>
        <w:t>沖縄科学技術大学院大学学園（以下「学園」という。）の業務運営における適切性及び透明性の確保並びにその効率化に関する事項</w:t>
      </w:r>
    </w:p>
    <w:p>
      <w:pPr>
        <w:pStyle w:val="ListBullet"/>
        <w:ind w:left="880"/>
      </w:pPr>
      <w:r>
        <w:t>三</w:t>
        <w:br/>
        <w:t>学園の財政基盤の強化に関する事項</w:t>
      </w:r>
    </w:p>
    <w:p>
      <w:pPr>
        <w:pStyle w:val="ListBullet"/>
        <w:ind w:left="880"/>
      </w:pPr>
      <w:r>
        <w:t>四</w:t>
        <w:br/>
        <w:t>前三号に掲げるもののほか、学園の業務に関する事項</w:t>
      </w:r>
    </w:p>
    <w:p>
      <w:pPr>
        <w:pStyle w:val="Heading4"/>
      </w:pPr>
      <w:r>
        <w:t>第二条（事業計画の認可の申請）</w:t>
      </w:r>
    </w:p>
    <w:p>
      <w:r>
        <w:t>学園は、法第九条第一項前段の規定により事業計画の認可を受けようとするときは、事業計画を記載した申請書に次に掲げる書類を添付して、当該会計年度開始三十日前までに、内閣総理大臣に提出しなければならない。</w:t>
      </w:r>
    </w:p>
    <w:p>
      <w:pPr>
        <w:pStyle w:val="ListBullet"/>
        <w:ind w:left="880"/>
      </w:pPr>
      <w:r>
        <w:t>一</w:t>
        <w:br/>
        <w:t>収支予算書</w:t>
      </w:r>
    </w:p>
    <w:p>
      <w:pPr>
        <w:pStyle w:val="ListBullet"/>
        <w:ind w:left="880"/>
      </w:pPr>
      <w:r>
        <w:t>二</w:t>
        <w:br/>
        <w:t>前会計年度の予定貸借対照表及び予定損益計算書</w:t>
      </w:r>
    </w:p>
    <w:p>
      <w:pPr>
        <w:pStyle w:val="ListBullet"/>
        <w:ind w:left="880"/>
      </w:pPr>
      <w:r>
        <w:t>三</w:t>
        <w:br/>
        <w:t>当該会計年度の予定貸借対照表及び予定損益計算書</w:t>
      </w:r>
    </w:p>
    <w:p>
      <w:pPr>
        <w:pStyle w:val="ListBullet"/>
        <w:ind w:left="880"/>
      </w:pPr>
      <w:r>
        <w:t>四</w:t>
        <w:br/>
        <w:t>前三号に掲げるもののほか、事業計画の参考となる書類</w:t>
      </w:r>
    </w:p>
    <w:p>
      <w:pPr>
        <w:pStyle w:val="Heading5"/>
        <w:ind w:left="440"/>
      </w:pPr>
      <w:r>
        <w:t>２</w:t>
      </w:r>
    </w:p>
    <w:p>
      <w:pPr>
        <w:ind w:left="440"/>
      </w:pPr>
      <w:r>
        <w:t>学園は、法第九条第一項後段の規定により事業計画の変更の認可を受けようとするときは、次に掲げる事項を記載した申請書に当該変更後の事業計画を添えて、内閣総理大臣に提出しなければならない。</w:t>
        <w:br/>
        <w:t>この場合において、当該変更が前項の規定により当該事業計画の認可を申請するときに添付した同項各号の書類の変更を伴うときは、当該変更後の書類を添付しなければならない。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第三条（借入れの認可の申請）</w:t>
      </w:r>
    </w:p>
    <w:p>
      <w:r>
        <w:t>学園は、法第十条の規定により弁済期限が一年を超える資金の借入れの認可を受けようとするときは、次に掲げる事項を記載した申請書を内閣総理大臣に提出しなければならない。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第四条（重要な財産の範囲）</w:t>
      </w:r>
    </w:p>
    <w:p>
      <w:r>
        <w:t>法第十一条に規定する内閣府令で定める重要な財産は、土地及び建物並びに内閣総理大臣が指定するその他の財産とする。</w:t>
      </w:r>
    </w:p>
    <w:p>
      <w:pPr>
        <w:pStyle w:val="Heading4"/>
      </w:pPr>
      <w:r>
        <w:t>第五条（重要な財産の譲渡等の認可の申請）</w:t>
      </w:r>
    </w:p>
    <w:p>
      <w:r>
        <w:t>学園は、法第十一条の規定により重要な財産を譲り受け、譲渡し、交換し、又は担保に供すること（以下「譲渡等」という。）について、認可を受けようとするときは、次に掲げる事項を記載した申請書に譲渡等を証する書面を添付して、内閣総理大臣に提出しなければならない。</w:t>
      </w:r>
    </w:p>
    <w:p>
      <w:pPr>
        <w:pStyle w:val="ListBullet"/>
        <w:ind w:left="880"/>
      </w:pPr>
      <w:r>
        <w:t>一</w:t>
        <w:br/>
        <w:t>譲渡等に係る財産の内容及び評価額</w:t>
      </w:r>
    </w:p>
    <w:p>
      <w:pPr>
        <w:pStyle w:val="ListBullet"/>
        <w:ind w:left="880"/>
      </w:pPr>
      <w:r>
        <w:t>二</w:t>
        <w:br/>
        <w:t>譲渡等の条件</w:t>
      </w:r>
    </w:p>
    <w:p>
      <w:pPr>
        <w:pStyle w:val="ListBullet"/>
        <w:ind w:left="880"/>
      </w:pPr>
      <w:r>
        <w:t>三</w:t>
        <w:br/>
        <w:t>譲渡等の方法</w:t>
      </w:r>
    </w:p>
    <w:p>
      <w:pPr>
        <w:pStyle w:val="ListBullet"/>
        <w:ind w:left="880"/>
      </w:pPr>
      <w:r>
        <w:t>四</w:t>
        <w:br/>
        <w:t>学園の業務運営上支障がない旨及びその理由</w:t>
      </w:r>
    </w:p>
    <w:p>
      <w:pPr>
        <w:pStyle w:val="Heading4"/>
      </w:pPr>
      <w:r>
        <w:t>第六条（会計の原則）</w:t>
      </w:r>
    </w:p>
    <w:p>
      <w:r>
        <w:t>学園の会計については、この府令の定めるところにより、この府令に定めのないものについては、一般に公正妥当と認められる企業会計の基準に従うものとする。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学園に適用する会計の基準として内閣総理大臣が別に公示する沖縄科学技術大学院大学学園会計基準は、第一項に規定する一般に公正妥当と認められる企業会計の基準に優先して適用されるものとする。</w:t>
      </w:r>
    </w:p>
    <w:p>
      <w:pPr>
        <w:pStyle w:val="Heading4"/>
      </w:pPr>
      <w:r>
        <w:t>第七条（償却資産の指定等）</w:t>
      </w:r>
    </w:p>
    <w:p>
      <w:r>
        <w:t>内閣総理大臣は、学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前項の指定を受けた資産の減価償却については、減価償却費は計上せず、資産の減価額と同額を拠出剰余金に対する控除として計上するものとする。</w:t>
      </w:r>
    </w:p>
    <w:p>
      <w:r>
        <w:br w:type="page"/>
      </w:r>
    </w:p>
    <w:p>
      <w:pPr>
        <w:pStyle w:val="Heading1"/>
      </w:pPr>
      <w:r>
        <w:t>附　則</w:t>
      </w:r>
    </w:p>
    <w:p>
      <w:pPr>
        <w:pStyle w:val="Heading4"/>
      </w:pPr>
      <w:r>
        <w:t>第一条（施行期日）</w:t>
      </w:r>
    </w:p>
    <w:p>
      <w:r>
        <w:t>この府令は、法の施行の日（平成二十三年十一月一日）から施行する。</w:t>
      </w:r>
    </w:p>
    <w:p>
      <w:pPr>
        <w:pStyle w:val="Heading4"/>
      </w:pPr>
      <w:r>
        <w:t>第二条（独立行政法人沖縄科学技術研究基盤整備機構の財務及び会計に関する内閣府令の廃止）</w:t>
      </w:r>
    </w:p>
    <w:p>
      <w:r>
        <w:t>独立行政法人沖縄科学技術研究基盤整備機構の財務及び会計に関する内閣府令（平成十七年内閣府令第八十六号）は、廃止する。</w:t>
      </w:r>
    </w:p>
    <w:p>
      <w:pPr>
        <w:pStyle w:val="Heading4"/>
      </w:pPr>
      <w:r>
        <w:t>第三条（成立の際の会計処理の特例）</w:t>
      </w:r>
    </w:p>
    <w:p>
      <w:r>
        <w:t>学園の成立の際法附則第四条第一項の規定により学園に拠出されたものとされる資産のうち償却資産については、第七条第一項の指定があったものとみなす。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沖縄科学技術大学院大学学園法施行規則</w:t>
      <w:br/>
      <w:tab/>
      <w:t>（平成二十三年内閣府令第五十九号）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沖縄科学技術大学院大学学園法施行規則（平成二十三年内閣府令第五十九号）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