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沖縄総合事務局地方交通審議会規則</w:t>
        <w:br/>
        <w:t>（昭和四十七年総理府・運輸省令第一号）</w:t>
      </w:r>
    </w:p>
    <w:p>
      <w:r>
        <w:t>沖縄総合事務局に置かれる地方交通審議会の組織、所掌事務、委員の任命その他の事項については、地方交通審議会規則（平成十三年国土交通省令第二十四号）を準用する。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この命令は、公布の日から施行する。</w:t>
      </w:r>
    </w:p>
    <w:p>
      <w:r>
        <w:br w:type="page"/>
      </w:r>
    </w:p>
    <w:p>
      <w:pPr>
        <w:pStyle w:val="Heading1"/>
      </w:pPr>
      <w:r>
        <w:t>附　則（昭和五九年六月二六日総理府・運輸省令第二号）</w:t>
      </w:r>
    </w:p>
    <w:p>
      <w:r>
        <w:t>この命令は、昭和五十九年七月一日から施行する。</w:t>
      </w:r>
    </w:p>
    <w:p>
      <w:r>
        <w:br w:type="page"/>
      </w:r>
    </w:p>
    <w:p>
      <w:pPr>
        <w:pStyle w:val="Heading1"/>
      </w:pPr>
      <w:r>
        <w:t>附　則（平成一二年八月一四日　平成一三年内閣府令第六号）</w:t>
      </w:r>
    </w:p>
    <w:p>
      <w:r>
        <w:t>この中央省庁等改革推進本部令（次項において「本部令」という。）は、内閣法の一部を改正する法律（平成十一年法律第八十八号）の施行の日（平成十三年一月六日）から施行する。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この本部令は、その施行の日に、中央省庁等改革のための内閣府組織関係命令の整備に関する命令（平成十三年内閣府令第六号）となるものとする。</w:t>
      </w:r>
    </w:p>
    <w:p>
      <w:r>
        <w:br w:type="page"/>
      </w:r>
    </w:p>
    <w:p>
      <w:pPr>
        <w:pStyle w:val="Heading1"/>
      </w:pPr>
      <w:r>
        <w:t>附　則（平成一四年六月二八日内閣府・国土交通省令第三号）</w:t>
      </w:r>
    </w:p>
    <w:p>
      <w:r>
        <w:t>この命令は、平成十四年七月一日から施行する。</w:t>
      </w:r>
    </w:p>
    <w:p>
      <w:r>
        <w:br w:type="page"/>
      </w:r>
    </w:p>
    <w:p>
      <w:pPr>
        <w:pStyle w:val="Heading1"/>
      </w:pPr>
      <w:r>
        <w:t>附　則（平成二七年六月三〇日内閣府・国土交通省令第三号）</w:t>
      </w:r>
    </w:p>
    <w:p>
      <w:r>
        <w:t>この命令は、平成二十七年七月一日から施行する。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沖縄総合事務局地方交通審議会規則</w:t>
      <w:br/>
      <w:tab/>
      <w:t>（昭和四十七年総理府・運輸省令第一号）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沖縄総合事務局地方交通審議会規則（昭和四十七年総理府・運輸省令第一号）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