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流通業務市街地の整備に関する法律施行令</w:t>
        <w:br/>
        <w:t>（昭和四十二年政令第三号）</w:t>
      </w:r>
    </w:p>
    <w:p>
      <w:pPr>
        <w:pStyle w:val="Heading4"/>
      </w:pPr>
      <w:r>
        <w:t>第一条（公共施設）</w:t>
      </w:r>
    </w:p>
    <w:p>
      <w:r>
        <w:t>流通業務市街地の整備に関する法律（以下「法」という。）第二条第五項の政令で定める公共の用に供する施設は、公園、広場、緑地、下水道、河川、水路、運河、堤防、護岸及び公共物揚場とする。</w:t>
      </w:r>
    </w:p>
    <w:p>
      <w:pPr>
        <w:pStyle w:val="Heading4"/>
      </w:pPr>
      <w:r>
        <w:t>第二条（危険物等）</w:t>
      </w:r>
    </w:p>
    <w:p>
      <w:r>
        <w:t>法第五条第一項第三号の政令で定める危険物は、建築基準法（昭和二十五年法律第二百一号）別表第二（る）項第一号（一）から（三）まで、（十一）及び（十二）に掲げる物品とする。</w:t>
      </w:r>
    </w:p>
    <w:p>
      <w:pPr>
        <w:pStyle w:val="Heading5"/>
        <w:ind w:left="440"/>
      </w:pPr>
      <w:r>
        <w:t>２</w:t>
      </w:r>
    </w:p>
    <w:p>
      <w:pPr>
        <w:ind w:left="440"/>
      </w:pPr>
      <w:r>
        <w:t>法第五条第一項第三号の政令で定める倉庫、野積場又は貯蔵槽そう（以下「倉庫等」という。）は、建築基準法施行令（昭和二十五年政令第三百三十八号）第百三十条の九第一項の表商業地域の欄に定める数量をこえる前項の危険物の保管の用に供するもの（第一石油類、第二石油類又は第三石油類の保管の用に供する地下貯蔵槽そうを除く。）とする。</w:t>
      </w:r>
    </w:p>
    <w:p>
      <w:pPr>
        <w:pStyle w:val="Heading5"/>
        <w:ind w:left="440"/>
      </w:pPr>
      <w:r>
        <w:t>３</w:t>
      </w:r>
    </w:p>
    <w:p>
      <w:pPr>
        <w:ind w:left="440"/>
      </w:pPr>
      <w:r>
        <w:t>建築基準法施行令第百十六条第二項の規定は倉庫等に係る第一項の危険物の数量の限度について、同条第三項の規定は倉庫等に係る第一項の危険物のうち同令第百三十条の九第一項の表（二）項から（四）項までに掲げる危険物の数量の限度について準用する。</w:t>
      </w:r>
    </w:p>
    <w:p>
      <w:pPr>
        <w:pStyle w:val="Heading4"/>
      </w:pPr>
      <w:r>
        <w:t>第三条（物資の流通の過程における簡易な加工の事業）</w:t>
      </w:r>
    </w:p>
    <w:p>
      <w:r>
        <w:t>法第五条第一項第七号の物資の流通の過程における簡易な加工の事業で政令で定めるものは、次に掲げるものとする。</w:t>
      </w:r>
    </w:p>
    <w:p>
      <w:pPr>
        <w:pStyle w:val="Heading6"/>
        <w:ind w:left="880"/>
      </w:pPr>
      <w:r>
        <w:t>一</w:t>
      </w:r>
    </w:p>
    <w:p>
      <w:pPr>
        <w:ind w:left="880"/>
      </w:pPr>
      <w:r>
        <w:t>板ガラス又はカーテン、床敷物その他これらに類する繊維製品の切断の事業</w:t>
      </w:r>
    </w:p>
    <w:p>
      <w:pPr>
        <w:pStyle w:val="Heading6"/>
        <w:ind w:left="880"/>
      </w:pPr>
      <w:r>
        <w:t>二</w:t>
      </w:r>
    </w:p>
    <w:p>
      <w:pPr>
        <w:ind w:left="880"/>
      </w:pPr>
      <w:r>
        <w:t>家具、建具又は自転車の部品を組み立てることによりこれらを製品又は半製品とする事業</w:t>
      </w:r>
    </w:p>
    <w:p>
      <w:pPr>
        <w:pStyle w:val="Heading6"/>
        <w:ind w:left="880"/>
      </w:pPr>
      <w:r>
        <w:t>三</w:t>
      </w:r>
    </w:p>
    <w:p>
      <w:pPr>
        <w:ind w:left="880"/>
      </w:pPr>
      <w:r>
        <w:t>包装又はこん包の事業</w:t>
      </w:r>
    </w:p>
    <w:p>
      <w:pPr>
        <w:pStyle w:val="Heading6"/>
        <w:ind w:left="880"/>
      </w:pPr>
      <w:r>
        <w:t>四</w:t>
      </w:r>
    </w:p>
    <w:p>
      <w:pPr>
        <w:ind w:left="880"/>
      </w:pPr>
      <w:r>
        <w:t>商品又はその包装若しくはこん包に商品名その他の事項の表示を行い、又は当該表示がされた物を付ける事業</w:t>
      </w:r>
    </w:p>
    <w:p>
      <w:pPr>
        <w:pStyle w:val="Heading4"/>
      </w:pPr>
      <w:r>
        <w:t>第四条（流通業務地区の機能を害するおそれがない施設）</w:t>
      </w:r>
    </w:p>
    <w:p>
      <w:r>
        <w:t>法第五条第一項第十一号の流通業務地区の機能を害するおそれがない施設で政令で定めるものは、次に掲げるものとする。</w:t>
      </w:r>
    </w:p>
    <w:p>
      <w:pPr>
        <w:pStyle w:val="Heading6"/>
        <w:ind w:left="880"/>
      </w:pPr>
      <w:r>
        <w:t>一</w:t>
      </w:r>
    </w:p>
    <w:p>
      <w:pPr>
        <w:ind w:left="880"/>
      </w:pPr>
      <w:r>
        <w:t>農産物、畜産物若しくは水産物の処理若しくは加工又は木製、紙製若しくは合成樹脂製の包装材料の製造の事業の用に供する工場</w:t>
      </w:r>
    </w:p>
    <w:p>
      <w:pPr>
        <w:pStyle w:val="Heading6"/>
        <w:ind w:left="880"/>
      </w:pPr>
      <w:r>
        <w:t>二</w:t>
      </w:r>
    </w:p>
    <w:p>
      <w:pPr>
        <w:ind w:left="880"/>
      </w:pPr>
      <w:r>
        <w:t>流通業務地区において流通業務を営む者が主としてその従業者の一時的な休泊の用に供するため設置する施設</w:t>
      </w:r>
    </w:p>
    <w:p>
      <w:pPr>
        <w:pStyle w:val="Heading6"/>
        <w:ind w:left="880"/>
      </w:pPr>
      <w:r>
        <w:t>三</w:t>
      </w:r>
    </w:p>
    <w:p>
      <w:pPr>
        <w:ind w:left="880"/>
      </w:pPr>
      <w:r>
        <w:t>液化石油ガスの販売所</w:t>
      </w:r>
    </w:p>
    <w:p>
      <w:pPr>
        <w:pStyle w:val="Heading6"/>
        <w:ind w:left="880"/>
      </w:pPr>
      <w:r>
        <w:t>四</w:t>
      </w:r>
    </w:p>
    <w:p>
      <w:pPr>
        <w:ind w:left="880"/>
      </w:pPr>
      <w:r>
        <w:t>計量法（平成四年法律第五十一号）第百七条に規定する計量証明の事業の用に供する事業所</w:t>
      </w:r>
    </w:p>
    <w:p>
      <w:pPr>
        <w:pStyle w:val="Heading4"/>
      </w:pPr>
      <w:r>
        <w:t>第五条（施行計画及び処分計画について協議すべき者）</w:t>
      </w:r>
    </w:p>
    <w:p>
      <w:r>
        <w:t>法第二十九条の政令で定める者は、次に掲げる者とする。</w:t>
      </w:r>
    </w:p>
    <w:p>
      <w:pPr>
        <w:pStyle w:val="Heading6"/>
        <w:ind w:left="880"/>
      </w:pPr>
      <w:r>
        <w:t>一</w:t>
      </w:r>
    </w:p>
    <w:p>
      <w:pPr>
        <w:ind w:left="880"/>
      </w:pPr>
      <w:r>
        <w:t>次条第一項の規定により造成敷地等の譲受人として特定される者</w:t>
      </w:r>
    </w:p>
    <w:p>
      <w:pPr>
        <w:pStyle w:val="Heading6"/>
        <w:ind w:left="880"/>
      </w:pPr>
      <w:r>
        <w:t>二</w:t>
      </w:r>
    </w:p>
    <w:p>
      <w:pPr>
        <w:ind w:left="880"/>
      </w:pPr>
      <w:r>
        <w:t>公共施設以外の公共の用に供する施設で、国土交通省令で定めるものの管理者</w:t>
      </w:r>
    </w:p>
    <w:p>
      <w:pPr>
        <w:pStyle w:val="Heading4"/>
      </w:pPr>
      <w:r>
        <w:t>第六条（譲受人の公募をしない造成敷地等）</w:t>
      </w:r>
    </w:p>
    <w:p>
      <w:r>
        <w:t>施行者は、次に掲げる造成敷地等については、公募をしないで譲受人を決定することができる。</w:t>
      </w:r>
    </w:p>
    <w:p>
      <w:pPr>
        <w:pStyle w:val="Heading6"/>
        <w:ind w:left="880"/>
      </w:pPr>
      <w:r>
        <w:t>一</w:t>
      </w:r>
    </w:p>
    <w:p>
      <w:pPr>
        <w:ind w:left="880"/>
      </w:pPr>
      <w:r>
        <w:t>土地収用法（昭和二十六年法律第二百十九号）第三条に規定する事業の用に供する造成敷地等</w:t>
      </w:r>
    </w:p>
    <w:p>
      <w:pPr>
        <w:pStyle w:val="Heading6"/>
        <w:ind w:left="880"/>
      </w:pPr>
      <w:r>
        <w:t>二</w:t>
      </w:r>
    </w:p>
    <w:p>
      <w:pPr>
        <w:ind w:left="880"/>
      </w:pPr>
      <w:r>
        <w:t>前号に掲げるもののほか、次に掲げる要件に該当する敷地である造成敷地等</w:t>
      </w:r>
    </w:p>
    <w:p>
      <w:pPr>
        <w:pStyle w:val="Heading5"/>
        <w:ind w:left="440"/>
      </w:pPr>
      <w:r>
        <w:t>２</w:t>
      </w:r>
    </w:p>
    <w:p>
      <w:pPr>
        <w:ind w:left="440"/>
      </w:pPr>
      <w:r>
        <w:t>施行者である地方公共団体がその事務又は事業の用に供する造成敷地等は、施行者がみずから当該用途に供することができる。</w:t>
      </w:r>
    </w:p>
    <w:p>
      <w:pPr>
        <w:pStyle w:val="Heading4"/>
      </w:pPr>
      <w:r>
        <w:t>第七条（公告の方法等）</w:t>
      </w:r>
    </w:p>
    <w:p>
      <w:r>
        <w:t>法第三十条第二項の公告は、官報、公報その他所定の手段により行なわなければならない。</w:t>
      </w:r>
    </w:p>
    <w:p>
      <w:pPr>
        <w:pStyle w:val="Heading4"/>
      </w:pPr>
      <w:r>
        <w:t>第八条</w:t>
      </w:r>
    </w:p>
    <w:p>
      <w:r>
        <w:t>法第四十一条第一項の公告は、公報その他所定の手段により行なうほか、当該公報その他所定の手段による公告を行なつた日から起算して十日間、流通業務団地造成事業を施行すべき土地の区域又は流通業務団地造成事業の事業地内の適当な場所に掲示して行なわなければならない。</w:t>
      </w:r>
    </w:p>
    <w:p>
      <w:pPr>
        <w:pStyle w:val="Heading5"/>
        <w:ind w:left="440"/>
      </w:pPr>
      <w:r>
        <w:t>２</w:t>
      </w:r>
    </w:p>
    <w:p>
      <w:pPr>
        <w:ind w:left="440"/>
      </w:pPr>
      <w:r>
        <w:t>前項の場合において、流通業務団地造成事業を施行すべき土地の区域又は流通業務団地造成事業の事業地の属する市町村及び書類の送付を受けるべき者の住所又はその者の最後の住所の属する市町村の長は、施行者の求めにより、同項の規定による掲示がされている旨の公告をしなければならない。</w:t>
      </w:r>
    </w:p>
    <w:p>
      <w:pPr>
        <w:pStyle w:val="Heading5"/>
        <w:ind w:left="440"/>
      </w:pPr>
      <w:r>
        <w:t>３</w:t>
      </w:r>
    </w:p>
    <w:p>
      <w:pPr>
        <w:ind w:left="440"/>
      </w:pPr>
      <w:r>
        <w:t>前項の規定により市町村が処理することとされている事務は、都道府県又は独立行政法人都市再生機構が施行する流通業務団地造成事業に係るものにあつては地方自治法（昭和二十二年法律第六十七号）第二条第九項第一号に規定する第一号法定受託事務とし、都道府県以外の地方公共団体が施行する流通業務団地造成事業に係るものにあつては同項第二号に規定する第二号法定受託事務とする。</w:t>
      </w:r>
    </w:p>
    <w:p>
      <w:pPr>
        <w:pStyle w:val="Heading5"/>
        <w:ind w:left="440"/>
      </w:pPr>
      <w:r>
        <w:t>４</w:t>
      </w:r>
    </w:p>
    <w:p>
      <w:pPr>
        <w:ind w:left="440"/>
      </w:pPr>
      <w:r>
        <w:t>法第四十一条第一項の公告があつた日は、第一項の規定による掲示の期間の満了日とする。</w:t>
      </w:r>
    </w:p>
    <w:p>
      <w:pPr>
        <w:pStyle w:val="Heading4"/>
      </w:pPr>
      <w:r>
        <w:t>第九条（国土交通省令への委任）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r>
        <w:br w:type="page"/>
      </w:r>
    </w:p>
    <w:p>
      <w:pPr>
        <w:pStyle w:val="Heading1"/>
      </w:pPr>
      <w:r>
        <w:t>附　則（昭和五三年六月一六日政令第二三九号）</w:t>
      </w:r>
    </w:p>
    <w:p>
      <w:r>
        <w:t>この政令は、公布の日から施行する。</w:t>
      </w:r>
    </w:p>
    <w:p>
      <w:r>
        <w:br w:type="page"/>
      </w:r>
    </w:p>
    <w:p>
      <w:pPr>
        <w:pStyle w:val="Heading1"/>
      </w:pPr>
      <w:r>
        <w:t>附　則（昭和六〇年四月二三日政令第一一一号）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Heading6"/>
        <w:ind w:left="880"/>
      </w:pPr>
      <w:r>
        <w:t>一から三まで</w:t>
      </w:r>
    </w:p>
    <w:p>
      <w:pPr>
        <w:ind w:left="880"/>
      </w:pPr>
      <w:r>
        <w:t>略</w:t>
      </w:r>
    </w:p>
    <w:p>
      <w:pPr>
        <w:pStyle w:val="Heading6"/>
        <w:ind w:left="880"/>
      </w:pPr>
      <w:r>
        <w:t>四</w:t>
      </w:r>
    </w:p>
    <w:p>
      <w:pPr>
        <w:ind w:left="880"/>
      </w:pPr>
      <w:r>
        <w:t>流通業務市街地の整備に関する法律施行令</w:t>
      </w:r>
    </w:p>
    <w:p>
      <w:r>
        <w:br w:type="page"/>
      </w:r>
    </w:p>
    <w:p>
      <w:pPr>
        <w:pStyle w:val="Heading1"/>
      </w:pPr>
      <w:r>
        <w:t>附　則（平成五年一〇月六日政令第三二九号）</w:t>
      </w:r>
    </w:p>
    <w:p>
      <w:pPr>
        <w:pStyle w:val="Heading4"/>
      </w:pPr>
      <w:r>
        <w:t>第一条（施行期日）</w:t>
      </w:r>
    </w:p>
    <w:p>
      <w:r>
        <w:t>この政令は、法の施行の日（平成五年十一月一日）から施行する。</w:t>
      </w:r>
    </w:p>
    <w:p>
      <w:r>
        <w:br w:type="page"/>
      </w:r>
    </w:p>
    <w:p>
      <w:pPr>
        <w:pStyle w:val="Heading1"/>
      </w:pPr>
      <w:r>
        <w:t>附　則（平成五年一一月八日政令第三五四号）</w:t>
      </w:r>
    </w:p>
    <w:p>
      <w:r>
        <w:t>この政令は、流通業務市街地の整備に関する法律の一部を改正する法律の施行の日（平成五年十一月十日）から施行する。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流通業務市街地の整備に関する法律施行令</w:t>
      <w:br/>
      <w:tab/>
      <w:t>（昭和四十二年政令第三号）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流通業務市街地の整備に関する法律施行令（昭和四十二年政令第三号）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