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海岸法第三十七条の二第一項の海岸を指定する政令</w:t>
        <w:br/>
        <w:t>（平成十一年政令第百九十三号）</w:t>
      </w:r>
    </w:p>
    <w:p>
      <w:r>
        <w:t>海岸法第三十七条の二第一項の海岸は、東京都小笠原村沖ノ鳥島の海岸とする。</w:t>
      </w:r>
    </w:p>
    <w:p>
      <w:r>
        <w:br w:type="page"/>
      </w:r>
    </w:p>
    <w:p>
      <w:pPr>
        <w:pStyle w:val="Heading1"/>
      </w:pPr>
      <w:r>
        <w:t>附　則</w:t>
      </w:r>
    </w:p>
    <w:p>
      <w:r>
        <w:t>この政令は、公布の日から施行する。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v0.2 -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海岸法第三十七条の二第一項の海岸を指定する政令</w:t>
      <w:br/>
      <w:tab/>
      <w:t>（平成十一年政令第百九十三号）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海岸法第三十七条の二第一項の海岸を指定する政令（平成十一年政令第百九十三号）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