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消費税の円滑かつ適正な転嫁の確保のための消費税の転嫁を阻害する行為の是正等に関する特別措置法第二条第一項第一号の大規模小売事業者を定める規則</w:t>
        <w:br/>
        <w:t>（平成二十五年公正取引委員会規則第三号）</w:t>
      </w:r>
    </w:p>
    <w:p>
      <w:r>
        <w:t>消費税の円滑かつ適正な転嫁の確保のための消費税の転嫁を阻害する行為の是正等に関する特別措置法（以下「法」という。）第二条第一項第一号の大規模小売事業者は、一般消費者が日常使用する商品の小売業を行う者（特定連鎖化事業（中小小売商業振興法（昭和四十八年法律第百一号）第十一条第一項に規定する特定連鎖化事業をいう。以下同じ。）を行う者を含む。）であって、次の各号のいずれかに該当するものをいう。</w:t>
      </w:r>
    </w:p>
    <w:p>
      <w:pPr>
        <w:pStyle w:val="Heading6"/>
        <w:ind w:left="880"/>
      </w:pPr>
      <w:r>
        <w:t>一</w:t>
      </w:r>
    </w:p>
    <w:p>
      <w:pPr>
        <w:ind w:left="880"/>
      </w:pPr>
      <w:r>
        <w:t>前事業年度における売上高（特定連鎖化事業を行う者にあっては、当該特定連鎖化事業に加盟する者の売上高を含む。）が百億円以上である者</w:t>
      </w:r>
    </w:p>
    <w:p>
      <w:pPr>
        <w:pStyle w:val="Heading6"/>
        <w:ind w:left="880"/>
      </w:pPr>
      <w:r>
        <w:t>二</w:t>
      </w:r>
    </w:p>
    <w:p>
      <w:pPr>
        <w:ind w:left="880"/>
      </w:pPr>
      <w:r>
        <w:t>次に掲げるいずれかの店舗を有する者</w:t>
      </w:r>
    </w:p>
    <w:p>
      <w:r>
        <w:br w:type="page"/>
      </w:r>
    </w:p>
    <w:p>
      <w:pPr>
        <w:pStyle w:val="Heading1"/>
      </w:pPr>
      <w:r>
        <w:t>附　則</w:t>
      </w:r>
    </w:p>
    <w:p>
      <w:r>
        <w:t>この規則は、法の施行の日（平成二十五年十月一日）から施行する。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消費税の円滑かつ適正な転嫁の確保のための消費税の転嫁を阻害する行為の是正等に関する特別措置法第二条第一項第一号の大規模小売事業者を定める規則</w:t>
      <w:br/>
      <w:tab/>
      <w:t>（平成二十五年公正取引委員会規則第三号）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消費税の円滑かつ適正な転嫁の確保のための消費税の転嫁を阻害する行為の是正等に関する特別措置法第二条第一項第一号の大規模小売事業者を定める規則（平成二十五年公正取引委員会規則第三号）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