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消費経済審議会令</w:t>
        <w:br/>
        <w:t>（平成八年政令第百五十二号）</w:t>
      </w:r>
    </w:p>
    <w:p>
      <w:pPr>
        <w:pStyle w:val="Heading4"/>
      </w:pPr>
      <w:r>
        <w:t>第一条（組織）</w:t>
      </w:r>
    </w:p>
    <w:p>
      <w:r>
        <w:t>消費経済審議会（以下「審議会」という。）は、委員二十人以内で組織する。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第八条（庶務）</w:t>
      </w:r>
    </w:p>
    <w:p>
      <w:r>
        <w:t>審議会の庶務は、経済産業省商務情報政策局消費・流通政策課において処理する。</w:t>
      </w:r>
    </w:p>
    <w:p>
      <w:pPr>
        <w:pStyle w:val="Heading4"/>
      </w:pPr>
      <w:r>
        <w:t>第九条（雑則）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p>
      <w:pPr>
        <w:pStyle w:val="Heading5"/>
        <w:ind w:left="440"/>
      </w:pPr>
      <w:r>
        <w:t>２</w:t>
      </w:r>
    </w:p>
    <w:p>
      <w:pPr>
        <w:ind w:left="440"/>
      </w:pPr>
      <w:r>
        <w:t>製品安全及び家庭用品品質表示審議会令（昭和四十八年政令第百四十九号）は、廃止する。</w:t>
      </w:r>
    </w:p>
    <w:p>
      <w:r>
        <w:br w:type="page"/>
      </w:r>
    </w:p>
    <w:p>
      <w:pPr>
        <w:pStyle w:val="Heading1"/>
      </w:pPr>
      <w:r>
        <w:t>附　則（平成一一年一〇月八日政令第三一八号）</w:t>
      </w:r>
    </w:p>
    <w:p>
      <w:pPr>
        <w:pStyle w:val="Heading4"/>
      </w:pPr>
      <w:r>
        <w:t>第一条（施行期日）</w:t>
      </w:r>
    </w:p>
    <w:p>
      <w:r>
        <w:t>この政令は、訪問販売等に関する法律及び割賦販売法の一部を改正する法律の施行の日（平成十一年十月二十二日）から施行する。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第三条（委員等の任期に関する経過措置）</w:t>
      </w:r>
    </w:p>
    <w:p>
      <w:r>
        <w:t>この政令の施行の日の前日において次に掲げる従前の審議会の会長、委員その他の職員である者（任期の定めのない者を除く。）の任期は、当該会長、委員その他の職員の任期を定めたそれぞれの政令の規定にかかわらず、その日に満了する。</w:t>
      </w:r>
    </w:p>
    <w:p>
      <w:pPr>
        <w:pStyle w:val="Heading6"/>
        <w:ind w:left="880"/>
      </w:pPr>
      <w:r>
        <w:t>一から三まで</w:t>
      </w:r>
    </w:p>
    <w:p>
      <w:pPr>
        <w:ind w:left="880"/>
      </w:pPr>
      <w:r>
        <w:t>略</w:t>
      </w:r>
    </w:p>
    <w:p>
      <w:pPr>
        <w:pStyle w:val="Heading6"/>
        <w:ind w:left="880"/>
      </w:pPr>
      <w:r>
        <w:t>四</w:t>
      </w:r>
    </w:p>
    <w:p>
      <w:pPr>
        <w:ind w:left="880"/>
      </w:pPr>
      <w:r>
        <w:t>消費経済審議会</w:t>
      </w:r>
    </w:p>
    <w:p>
      <w:r>
        <w:br w:type="page"/>
      </w:r>
    </w:p>
    <w:p>
      <w:pPr>
        <w:pStyle w:val="Heading1"/>
      </w:pPr>
      <w:r>
        <w:t>附　則（平成一九年四月一日政令第一三四号）</w:t>
      </w:r>
    </w:p>
    <w:p>
      <w:pPr>
        <w:pStyle w:val="Heading4"/>
      </w:pPr>
      <w:r>
        <w:t>第一条（施行期日）</w:t>
      </w:r>
    </w:p>
    <w:p>
      <w:r>
        <w:t>この政令は、公布の日から施行する。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則（平成二三年六月二九日政令第一八五号）</w:t>
      </w:r>
    </w:p>
    <w:p>
      <w:pPr>
        <w:pStyle w:val="Heading4"/>
      </w:pPr>
      <w:r>
        <w:t>第一条（施行期日）</w:t>
      </w:r>
    </w:p>
    <w:p>
      <w:r>
        <w:t>この政令は、平成二十三年七月一日から施行する。</w:t>
      </w:r>
    </w:p>
    <w:p>
      <w:r>
        <w:br w:type="page"/>
      </w:r>
    </w:p>
    <w:p>
      <w:pPr>
        <w:pStyle w:val="Heading1"/>
      </w:pPr>
      <w:r>
        <w:t>附　則（平成二九年七月五日政令第一七九号）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消費経済審議会令</w:t>
      <w:br/>
      <w:tab/>
      <w:t>（平成八年政令第百五十二号）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消費経済審議会令（平成八年政令第百五十二号）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