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消費者委員会事務局組織規則</w:t>
        <w:br/>
        <w:t>（平成二十一年内閣府令第四十五号）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消費者委員会事務局に、参事官及び企画官それぞれ一人を置く。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参事官は、命を受けて、局務に関する重要事項に係るものに参画する。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この府令は、消費者庁及び消費者委員会設置法（平成二十一年法律第四十八号）の施行の日（平成二十一年九月一日）から施行する。</w:t>
      </w:r>
    </w:p>
    <w:p>
      <w:r>
        <w:br w:type="page"/>
      </w:r>
    </w:p>
    <w:p>
      <w:pPr>
        <w:pStyle w:val="Heading1"/>
      </w:pPr>
      <w:r>
        <w:t>附則（平成二二年四月一日内閣府令第二〇号）</w:t>
      </w:r>
    </w:p>
    <w:p>
      <w:r>
        <w:t>この府令は、公布の日から施行する。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消費者委員会事務局組織規則</w:t>
      <w:br/>
      <w:tab/>
      <w:t>（平成二十一年内閣府令第四十五号）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消費者委員会事務局組織規則（平成二十一年内閣府令第四十五号）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