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消費者委員会事務局組織規則</w:t>
        <w:br/>
        <w:t>（平成二十一年内閣府令第四十五号）</w:t>
      </w:r>
    </w:p>
    <w:p>
      <w:r>
        <w:t>消費者委員会事務局に、参事官及び企画官それぞれ一人を置く。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参事官は、命を受けて、局務に関する重要事項に係るものに参画する。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企画官は、命を受けて、局務のうち特定事項の調査、企画及び立案を行う。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この府令は、消費者庁及び消費者委員会設置法（平成二十一年法律第四十八号）の施行の日（平成二十一年九月一日）から施行する。</w:t>
      </w:r>
    </w:p>
    <w:p>
      <w:r>
        <w:br w:type="page"/>
      </w:r>
    </w:p>
    <w:p>
      <w:pPr>
        <w:pStyle w:val="Heading1"/>
      </w:pPr>
      <w:r>
        <w:t>附　則（平成二二年四月一日内閣府令第二〇号）</w:t>
      </w:r>
    </w:p>
    <w:p>
      <w:r>
        <w:t>この府令は、公布の日から施行する。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消費者委員会事務局組織規則</w:t>
      <w:br/>
      <w:tab/>
      <w:t>（平成二十一年内閣府令第四十五号）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消費者委員会事務局組織規則（平成二十一年内閣府令第四十五号）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