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消費者政策会議令</w:t>
        <w:br/>
        <w:t>（昭和四十三年政令第二百四十九号）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消費者政策会議の庶務は、消費者庁消費者政策課において処理する。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前二条に定めるもののほか、議事の手続その他消費者政策会議の運営に関し必要な事項は、会長が消費者政策会議に諮つて定める。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附則（昭和五九年六月二一日政令第二〇一号）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附則（平成一二年六月七日政令第三〇三号）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附則（平成一六年六月二日政令第一八九号）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附則（平成二一年八月一四日政令第二一七号）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この政令は、消費者庁及び消費者委員会設置法の施行の日（平成二十一年九月一日）から施行する。</w:t>
      </w:r>
    </w:p>
    <w:p>
      <w:r>
        <w:br w:type="page"/>
      </w:r>
    </w:p>
    <w:p>
      <w:pPr>
        <w:pStyle w:val="Heading1"/>
      </w:pPr>
      <w:r>
        <w:t>附則（平成二三年六月二九日政令第一八四号）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この政令は、平成二十三年七月一日から施行する。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消費者政策会議令</w:t>
      <w:br/>
      <w:tab/>
      <w:t>（昭和四十三年政令第二百四十九号）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消費者政策会議令（昭和四十三年政令第二百四十九号）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