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消防法及び石油コンビナート等災害防止法の規定に基づく民間事業者等が行う書面の保存等における情報通信の技術の利用に関する規則</w:t>
        <w:br/>
        <w:t>（平成十七年総務省令第三十八号）</w:t>
      </w:r>
    </w:p>
    <w:p>
      <w:pPr>
        <w:pStyle w:val="Heading4"/>
      </w:pPr>
      <w:r>
        <w:t>第一条（趣旨）</w:t>
      </w:r>
    </w:p>
    <w:p>
      <w:r>
        <w:t>民間事業者等が、消防法及び石油コンビナート等災害防止法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及び別表第二の上欄に掲げる法令の同表の下欄に掲げる規定に基づき、電磁的記録による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各号の規定に基づく電磁的記録の保存を行う場合は、電磁的方法により記録された事項が必要に応じ電子計算機その他の機器を用いて直ちに表示及び書面を作成できるようにして保存され、かつ、電子計算機の処理システム上、電磁的記録の記録事項について訂正又は削除を行った場合には、これらの事実及び内容を確認することができるようになっているとともに、記録事項の入力をその業務の処理に係る通常の時期を経過した後に行った場合には、その事実を確認することができるよう、必要な措置を講じなければならない。</w:t>
      </w:r>
    </w:p>
    <w:p>
      <w:pPr>
        <w:pStyle w:val="Heading4"/>
      </w:pPr>
      <w:r>
        <w:t>第五条（法第四条第一項の主務省令で定める作成）</w:t>
      </w:r>
    </w:p>
    <w:p>
      <w:r>
        <w:t>法第四条第一項の主務省令で定める作成は、別表第三の上欄に掲げる法令の同表の下欄に掲げる規定に基づく書面の作成とする。</w:t>
      </w:r>
    </w:p>
    <w:p>
      <w:pPr>
        <w:pStyle w:val="Heading4"/>
      </w:pPr>
      <w:r>
        <w:t>第六条（電磁的記録による作成）</w:t>
      </w:r>
    </w:p>
    <w:p>
      <w:r>
        <w:t>民間事業者等が、法第四条第一項の規定に基づき、別表第三の上欄に掲げる法令の同表の下欄に掲げる規定に基づく書面の作成に代えて当該書面に係る電磁的記録の作成を行う場合及び別表第四の上欄に掲げる法令の同表の下欄に掲げる規定に基づき、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消防法及び石油コンビナート等災害防止法の規定に基づく民間事業者等が行う書面の保存等における情報通信の技術の利用に関する規則</w:t>
      <w:br/>
      <w:tab/>
      <w:t>（平成十七年総務省令第三十八号）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消防法及び石油コンビナート等災害防止法の規定に基づく民間事業者等が行う書面の保存等における情報通信の技術の利用に関する規則（平成十七年総務省令第三十八号）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