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深海底鉱業暫定措置法関係手数料令</w:t>
        <w:br/>
        <w:t>（昭和五十七年政令第百九十九号）</w:t>
      </w:r>
    </w:p>
    <w:p>
      <w:r>
        <w:t>深海底鉱業暫定措置法（以下「法」という。）第三十四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r>
        <w:br w:type="page"/>
      </w:r>
    </w:p>
    <w:p>
      <w:pPr>
        <w:pStyle w:val="Heading1"/>
      </w:pPr>
      <w:r>
        <w:t>附　則</w:t>
      </w:r>
    </w:p>
    <w:p>
      <w:r>
        <w:t>この政令は、法の施行の日（昭和五十七年七月二十日）から施行する。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深海底鉱業暫定措置法関係手数料令</w:t>
      <w:br/>
      <w:tab/>
      <w:t>（昭和五十七年政令第百九十九号）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深海底鉱業暫定措置法関係手数料令（昭和五十七年政令第百九十九号）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