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港湾整備促進法施行令</w:t>
        <w:br/>
        <w:t>（昭和二十八年政令第二百八十号）</w:t>
      </w:r>
    </w:p>
    <w:p>
      <w:r>
        <w:t>港湾整備促進法第二条に規定する地方港湾は、別表のとおりとする。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則（昭和三〇年七月一九日政令第一二九号）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則（昭和五七年七月二七日政令第二〇六号）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則（昭和五九年六月六日政令第一七六号）</w:t>
      </w:r>
    </w:p>
    <w:p>
      <w:pPr>
        <w:pStyle w:val="Heading4"/>
      </w:pPr>
      <w:r>
        <w:t>第一条（施行期日）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　則（昭和六二年七月二一日政令第二六三号）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則（平成四年七月一七日政令第二五三号）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則（平成一二年三月三一日政令第一九三号）</w:t>
      </w:r>
    </w:p>
    <w:p>
      <w:pPr>
        <w:pStyle w:val="Heading4"/>
      </w:pPr>
      <w:r>
        <w:t>第一条（施行期日）</w:t>
      </w:r>
    </w:p>
    <w:p>
      <w:r>
        <w:t>この政令は、平成十二年四月一日から施行する。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則（平成一二年六月七日政令第三一二号）</w:t>
      </w:r>
    </w:p>
    <w:p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港湾整備促進法施行令</w:t>
      <w:br/>
      <w:tab/>
      <w:t>（昭和二十八年政令第二百八十号）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港湾整備促進法施行令（昭和二十八年政令第二百八十号）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