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漁船再保険及漁業共済保険特別会計における漁業共済に係る保険金の支払財源の不足に充てるための一般会計からする繰入金に関する法律</w:t>
        <w:br/>
        <w:t>（昭和六十三年法律第三号）</w:t>
      </w:r>
    </w:p>
    <w:p>
      <w:pPr>
        <w:pStyle w:val="Heading5"/>
        <w:ind w:left="440"/>
      </w:pPr>
      <w:r>
        <w:t>１</w:t>
      </w:r>
    </w:p>
    <w:p>
      <w:pPr>
        <w:ind w:left="440"/>
      </w:pPr>
      <w:r>
        <w:t>政府は、漁船再保険及漁業共済保険特別会計の漁業共済保険勘定における漁業共済に係る保険金の支払財源の不足に充てるため、昭和六十二年度において、一般会計から、六十七億五千八十七万円を限り、同特別会計の漁業共済保険勘定に繰り入れることができる。</w:t>
      </w:r>
    </w:p>
    <w:p>
      <w:pPr>
        <w:pStyle w:val="Heading5"/>
        <w:ind w:left="440"/>
      </w:pPr>
      <w:r>
        <w:t>２</w:t>
      </w:r>
    </w:p>
    <w:p>
      <w:pPr>
        <w:ind w:left="440"/>
      </w:pPr>
      <w:r>
        <w:t>政府は、前項の規定による繰入金については、後日、食料安定供給特別会計の漁業共済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漁船再保険及漁業共済保険特別会計における漁業共済に係る保険金の支払財源の不足に充てるための一般会計からする繰入金に関する法律</w:t>
      <w:br/>
      <w:tab/>
      <w:t>（昭和六十三年法律第三号）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漁船再保険及漁業共済保険特別会計における漁業共済に係る保険金の支払財源の不足に充てるための一般会計からする繰入金に関する法律（昭和六十三年法律第三号）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