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漁船法施行令</w:t>
        <w:br/>
        <w:t>（平成十三年政令第三百七号）</w:t>
      </w:r>
    </w:p>
    <w:p>
      <w:pPr>
        <w:pStyle w:val="Heading4"/>
      </w:pPr>
      <w:r>
        <w:t>第一条（指定認定機関等の指定の有効期間）</w:t>
      </w:r>
    </w:p>
    <w:p>
      <w:r>
        <w:t>漁船法（以下「法」という。）第三十三条第一項（法第四十七条において準用する場合を含む。）の政令で定める期間は、五年とする。</w:t>
      </w:r>
    </w:p>
    <w:p>
      <w:pPr>
        <w:pStyle w:val="Heading4"/>
      </w:pPr>
      <w:r>
        <w:t>第二条（行政不服審査法施行令の準用）</w:t>
      </w:r>
    </w:p>
    <w:p>
      <w:r>
        <w:t>法第四十八条第一項の意見の聴取については、行政不服審査法施行令（平成二十七年政令第三百九十一号）第八条の規定を準用する。</w:t>
      </w:r>
    </w:p>
    <w:p>
      <w:r>
        <w:br w:type="page"/>
      </w:r>
    </w:p>
    <w:p>
      <w:pPr>
        <w:pStyle w:val="Heading1"/>
      </w:pPr>
      <w:r>
        <w:t>附　則</w:t>
      </w:r>
    </w:p>
    <w:p>
      <w:r>
        <w:t>この政令は、平成十四年四月一日から施行する。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漁船法施行令</w:t>
      <w:br/>
      <w:tab/>
      <w:t>（平成十三年政令第三百七号）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漁船法施行令（平成十三年政令第三百七号）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