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炭素鋼製突合せ溶接式継手に対して課する不当廉売関税に関する政令</w:t>
        <w:br/>
        <w:t>（平成二十九年政令第三百二十四号）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七三〇七・九三号に掲げる継手（突合せ溶接式のものに限る。第三条第一項及び第二項において単に「継手」という。）のうち炭素鋼製のもの（同表第七二類の注１（ｄ）の鋼を材料として製造されたもののうち、同表第七二類の注１（ｆ）のその他の合金鋼を材料として製造されたものを除く。同条第三項において「炭素鋼製突合せ溶接式継手」という。）</w:t>
      </w:r>
    </w:p>
    <w:p>
      <w:pPr>
        <w:pStyle w:val="ListBullet"/>
        <w:ind w:left="880"/>
      </w:pPr>
      <w:r>
        <w:t>二</w:t>
        <w:br/>
        <w:t>大韓民国又は中華人民共和国（香港地域及びマカオ地域を除く。次条及び第三条第二項において「中国」という。）</w:t>
      </w:r>
    </w:p>
    <w:p>
      <w:pPr>
        <w:pStyle w:val="ListBullet"/>
        <w:ind w:left="880"/>
      </w:pPr>
      <w:r>
        <w:t>三</w:t>
        <w:br/>
        <w:t>平成三十年三月三十一日から平成三十五年三月三十日までの期間</w:t>
      </w:r>
    </w:p>
    <w:p>
      <w:pPr>
        <w:pStyle w:val="Heading5"/>
        <w:ind w:left="440"/>
      </w:pPr>
      <w:r>
        <w:t>２</w:t>
      </w:r>
    </w:p>
    <w:p>
      <w:pPr>
        <w:ind w:left="440"/>
      </w:pPr>
      <w:r>
        <w:t>前項第一号に掲げる貨物であって、同項第二号に掲げる国を原産地とするもののうち、平成二十九年十二月二十八日から平成三十年三月三十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特定貨物又は暫定不当廉売関税賦課貨物に課する不当廉売関税の税率は、大韓民国を原産地とするものにあっては六十九・二パーセント（ティーケー・コーポレーション（ＴＫ　ＣＯＲＰＯＲＡＴＩＯＮ）により生産された特定貨物にあっては、四十一・八パーセント）、中国を原産地とするものにあっては五十七・三パーセントとする。</w:t>
      </w:r>
    </w:p>
    <w:p>
      <w:pPr>
        <w:pStyle w:val="Heading4"/>
      </w:pPr>
      <w:r>
        <w:t>第三条（提出書類）</w:t>
      </w:r>
    </w:p>
    <w:p>
      <w:r>
        <w:t>税関長は、継手又は保税工場若しくは総合保税地域において行われた継手を原料の一部とする製造による製品である外国貨物を輸入しようとする者に対し、当該継手の原産地を証明した書類を提出させることができる。</w:t>
      </w:r>
    </w:p>
    <w:p>
      <w:pPr>
        <w:pStyle w:val="Heading5"/>
        <w:ind w:left="440"/>
      </w:pPr>
      <w:r>
        <w:t>２</w:t>
      </w:r>
    </w:p>
    <w:p>
      <w:pPr>
        <w:ind w:left="440"/>
      </w:pPr>
      <w:r>
        <w:t>税関長は、大韓民国若しくは中国を原産地とする継手又は保税工場若しくは総合保税地域において行われた大韓民国若しくは中国を原産地とする継手を原料の一部とする製造による製品である外国貨物を輸入しようとする者に対し、当該継手の材料を証する書類その他不当廉売関税の適用の判断のために必要な書類を提出させることができる。</w:t>
      </w:r>
    </w:p>
    <w:p>
      <w:pPr>
        <w:pStyle w:val="Heading5"/>
        <w:ind w:left="440"/>
      </w:pPr>
      <w:r>
        <w:t>３</w:t>
      </w:r>
    </w:p>
    <w:p>
      <w:pPr>
        <w:ind w:left="440"/>
      </w:pPr>
      <w:r>
        <w:t>大韓民国を原産地とする炭素鋼製突合せ溶接式継手又は保税工場若しくは総合保税地域において行われた大韓民国を原産地とする炭素鋼製突合せ溶接式継手を原料の一部とする製造による製品である外国貨物を輸入しようとする者は、当該炭素鋼製突合せ溶接式継手の生産者の作成した当該炭素鋼製突合せ溶接式継手の生産を証する書類その他税率の適用のために必要な書類を税関長に提出しなければならない。</w:t>
      </w:r>
    </w:p>
    <w:p>
      <w:pPr>
        <w:pStyle w:val="Heading5"/>
        <w:ind w:left="440"/>
      </w:pPr>
      <w:r>
        <w:t>４</w:t>
      </w:r>
    </w:p>
    <w:p>
      <w:pPr>
        <w:ind w:left="440"/>
      </w:pPr>
      <w:r>
        <w:t>関税法施行令第六十一条第二項及び第三項の規定は第一項の書類について、関税暫定措置法施行令（昭和三十五年政令第六十九号）第二十八条の規定は前三項の書類について、それぞれ準用する。</w:t>
        <w:br/>
        <w:t>この場合において、関税法施行令第六十一条第二項中「同号の便益を受けようとする」とあるのは「その証明に係る」と、関税暫定措置法施行令第二十八条中「前条第一項」とあるのは「炭素鋼製突合せ溶接式継手に対して課する不当廉売関税に関する政令（平成二十九年政令第三百二十四号）第三条第一項から第三項まで」と、「蔵入れ申請等がされる物品については、当該蔵入れ申請等。以下この章において同じ」とあるのは「当該証明に係る物品について蔵入れ申請等がされる場合（以下この条において「蔵入れ申請等の場合」という。）にあつては当該蔵入れ申請等とし、当該証明に係る物品が特例申告に係る貨物である場合（蔵入れ申請等の場合を除く。）にあつては当該特例申告とする」と読み替えるもの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三月一日から翌年二月末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附則（平成三〇年三月三〇日政令第一二一号）</w:t>
      </w:r>
    </w:p>
    <w:p>
      <w:r>
        <w:t>この政令は、平成三十年三月三十一日から施行する。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炭素鋼製突合せ溶接式継手に対して課する不当廉売関税に関する政令</w:t>
      <w:br/>
      <w:tab/>
      <w:t>（平成二十九年政令第三百二十四号）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炭素鋼製突合せ溶接式継手に対して課する不当廉売関税に関する政令（平成二十九年政令第三百二十四号）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