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無尽業法施行令</w:t>
        <w:br/>
        <w:t>（平成二十一年政令第三百七号）</w:t>
      </w:r>
    </w:p>
    <w:p>
      <w:pPr>
        <w:pStyle w:val="Heading4"/>
      </w:pPr>
      <w:r>
        <w:t>第一条（銀行法を準用する場合の読替え）</w:t>
      </w:r>
    </w:p>
    <w:p>
      <w:r>
        <w:t>無尽業法（以下「法」という。）第十三条ノ二の規定により銀行法第十二条の三の規定を準用する場合においては、同条中「指定紛争解決機関」とあるのは「指定紛争解決機関（無尽業法第三十五条の二第一項第八号に規定する指定紛争解決機関をいう。）」と、「手続実施基本契約」とあるのは「手続実施基本契約（無尽業法第三十五条の二第一項第八号に規定する手続実施基本契約をいう。）」と、「銀行業務」とあるのは「無尽業務（無尽業法第三十五条の二第二項に規定する無尽業務をいう。）」と、「紛争解決等業務」とあるのは「紛争解決等業務（無尽業法第三十五条の二第一項に規定する紛争解決等業務をいう。）」と読み替えるものとする。</w:t>
      </w:r>
    </w:p>
    <w:p>
      <w:pPr>
        <w:pStyle w:val="Heading4"/>
      </w:pPr>
      <w:r>
        <w:t>第二条（紛争解決等業務に相当する業務に係る他の法律の規定による指定）</w:t>
      </w:r>
    </w:p>
    <w:p>
      <w:r>
        <w:t>法第三十五条の二第一項第二号及び第四号ニ並びに法第三十五条の二の三第一項において準用する銀行法第五十二条の六十六及び第五十二条の八十三第三項に規定する政令で定めるものは、次に掲げるものとする。</w:t>
      </w:r>
    </w:p>
    <w:p>
      <w:pPr>
        <w:pStyle w:val="Heading6"/>
        <w:ind w:left="880"/>
      </w:pPr>
      <w:r>
        <w:t>一</w:t>
      </w:r>
    </w:p>
    <w:p>
      <w:pPr>
        <w:ind w:left="880"/>
      </w:pPr>
      <w:r>
        <w:t>金融商品取引法（昭和二十三年法律第二十五号）第百五十六条の三十九第一項の規定による指定</w:t>
      </w:r>
    </w:p>
    <w:p>
      <w:pPr>
        <w:pStyle w:val="Heading6"/>
        <w:ind w:left="880"/>
      </w:pPr>
      <w:r>
        <w:t>二</w:t>
      </w:r>
    </w:p>
    <w:p>
      <w:pPr>
        <w:ind w:left="880"/>
      </w:pPr>
      <w:r>
        <w:t>第四条各号に掲げる指定</w:t>
      </w:r>
    </w:p>
    <w:p>
      <w:pPr>
        <w:pStyle w:val="Heading4"/>
      </w:pPr>
      <w:r>
        <w:t>第三条（異議を述べた無尽会社の数の無尽会社の総数に占める割合）</w:t>
      </w:r>
    </w:p>
    <w:p>
      <w:r>
        <w:t>法第三十五条の二第一項第八号に規定する政令で定める割合は、三分の一とする。</w:t>
      </w:r>
    </w:p>
    <w:p>
      <w:pPr>
        <w:pStyle w:val="Heading4"/>
      </w:pPr>
      <w:r>
        <w:t>第四条（名称の使用制限の適用除外）</w:t>
      </w:r>
    </w:p>
    <w:p>
      <w:r>
        <w:t>法第三十五条の二の三第一項において準用する銀行法第五十二条の七十七に規定する政令で定めるものは、次に掲げる指定のいずれかを受けた者とする。</w:t>
      </w:r>
    </w:p>
    <w:p>
      <w:pPr>
        <w:pStyle w:val="Heading6"/>
        <w:ind w:left="880"/>
      </w:pPr>
      <w:r>
        <w:t>一</w:t>
      </w:r>
    </w:p>
    <w:p>
      <w:pPr>
        <w:ind w:left="880"/>
      </w:pPr>
      <w:r>
        <w:t>金融機関の信託業務の兼営等に関する法律（昭和十八年法律第四十三号）第十二条の二第一項の規定による指定</w:t>
      </w:r>
    </w:p>
    <w:p>
      <w:pPr>
        <w:pStyle w:val="Heading6"/>
        <w:ind w:left="880"/>
      </w:pPr>
      <w:r>
        <w:t>二</w:t>
      </w:r>
    </w:p>
    <w:p>
      <w:pPr>
        <w:ind w:left="880"/>
      </w:pPr>
      <w:r>
        <w:t>農業協同組合法（昭和二十二年法律第百三十二号）第九十二条の六第一項の規定による指定</w:t>
      </w:r>
    </w:p>
    <w:p>
      <w:pPr>
        <w:pStyle w:val="Heading6"/>
        <w:ind w:left="880"/>
      </w:pPr>
      <w:r>
        <w:t>三</w:t>
      </w:r>
    </w:p>
    <w:p>
      <w:pPr>
        <w:ind w:left="880"/>
      </w:pPr>
      <w:r>
        <w:t>水産業協同組合法（昭和二十三年法律第二百四十二号）第百十八条第一項の規定による指定</w:t>
      </w:r>
    </w:p>
    <w:p>
      <w:pPr>
        <w:pStyle w:val="Heading6"/>
        <w:ind w:left="880"/>
      </w:pPr>
      <w:r>
        <w:t>四</w:t>
      </w:r>
    </w:p>
    <w:p>
      <w:pPr>
        <w:ind w:left="880"/>
      </w:pPr>
      <w:r>
        <w:t>中小企業等協同組合法（昭和二十四年法律第百八十一号）第六十九条の二第一項の規定による指定</w:t>
      </w:r>
    </w:p>
    <w:p>
      <w:pPr>
        <w:pStyle w:val="Heading6"/>
        <w:ind w:left="880"/>
      </w:pPr>
      <w:r>
        <w:t>五</w:t>
      </w:r>
    </w:p>
    <w:p>
      <w:pPr>
        <w:ind w:left="880"/>
      </w:pPr>
      <w:r>
        <w:t>信用金庫法（昭和二十六年法律第二百三十八号）第八十五条の十二第一項の規定による指定</w:t>
      </w:r>
    </w:p>
    <w:p>
      <w:pPr>
        <w:pStyle w:val="Heading6"/>
        <w:ind w:left="880"/>
      </w:pPr>
      <w:r>
        <w:t>六</w:t>
      </w:r>
    </w:p>
    <w:p>
      <w:pPr>
        <w:ind w:left="880"/>
      </w:pPr>
      <w:r>
        <w:t>長期信用銀行法（昭和二十七年法律第百八十七号）第十六条の八第一項の規定による指定</w:t>
      </w:r>
    </w:p>
    <w:p>
      <w:pPr>
        <w:pStyle w:val="Heading6"/>
        <w:ind w:left="880"/>
      </w:pPr>
      <w:r>
        <w:t>七</w:t>
      </w:r>
    </w:p>
    <w:p>
      <w:pPr>
        <w:ind w:left="880"/>
      </w:pPr>
      <w:r>
        <w:t>労働金庫法（昭和二十八年法律第二百二十七号）第八十九条の十三第一項の規定による指定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保険業法（平成七年法律第百五号）第三百八条の二第一項の規定による指定</w:t>
      </w:r>
    </w:p>
    <w:p>
      <w:pPr>
        <w:pStyle w:val="Heading6"/>
        <w:ind w:left="880"/>
      </w:pPr>
      <w:r>
        <w:t>十一</w:t>
      </w:r>
    </w:p>
    <w:p>
      <w:pPr>
        <w:ind w:left="880"/>
      </w:pPr>
      <w:r>
        <w:t>農林中央金庫法（平成十三年法律第九十三号）第九十五条の六第一項の規定による指定</w:t>
      </w:r>
    </w:p>
    <w:p>
      <w:pPr>
        <w:pStyle w:val="Heading6"/>
        <w:ind w:left="880"/>
      </w:pPr>
      <w:r>
        <w:t>十二</w:t>
      </w:r>
    </w:p>
    <w:p>
      <w:pPr>
        <w:ind w:left="880"/>
      </w:pPr>
      <w:r>
        <w:t>信託業法（平成十六年法律第百五十四号）第八十五条の二第一項の規定による指定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r>
        <w:br w:type="page"/>
      </w:r>
    </w:p>
    <w:p>
      <w:pPr>
        <w:pStyle w:val="Heading1"/>
      </w:pPr>
      <w:r>
        <w:t>附　則</w:t>
      </w:r>
    </w:p>
    <w:p>
      <w:pPr>
        <w:pStyle w:val="Heading4"/>
      </w:pPr>
      <w:r>
        <w:t>第一条（施行期日）</w:t>
      </w:r>
    </w:p>
    <w:p>
      <w:r>
        <w:t>この政令は、金融商品取引法等の一部を改正する法律（平成二十一年法律第五十八号。以下この条において「改正法」という。）の施行の日（平成二十二年四月一日）から施行する。</w:t>
      </w:r>
    </w:p>
    <w:p>
      <w:pPr>
        <w:pStyle w:val="Heading6"/>
        <w:ind w:left="880"/>
      </w:pPr>
      <w:r>
        <w:t>一</w:t>
      </w:r>
    </w:p>
    <w:p>
      <w:pPr>
        <w:ind w:left="880"/>
      </w:pPr>
      <w:r>
        <w:t>第一条の規定</w:t>
      </w:r>
    </w:p>
    <w:p>
      <w:pPr>
        <w:pStyle w:val="Heading6"/>
        <w:ind w:left="880"/>
      </w:pPr>
      <w:r>
        <w:t>二</w:t>
      </w:r>
    </w:p>
    <w:p>
      <w:pPr>
        <w:ind w:left="880"/>
      </w:pPr>
      <w:r>
        <w:t>第四条第九号の規定</w:t>
      </w:r>
    </w:p>
    <w:p>
      <w:pPr>
        <w:pStyle w:val="Heading6"/>
        <w:ind w:left="880"/>
      </w:pPr>
      <w:r>
        <w:t>三</w:t>
      </w:r>
    </w:p>
    <w:p>
      <w:pPr>
        <w:ind w:left="880"/>
      </w:pPr>
      <w:r>
        <w:t>第四条第十三号の規定</w:t>
      </w:r>
    </w:p>
    <w:p>
      <w:pPr>
        <w:pStyle w:val="Heading4"/>
      </w:pPr>
      <w:r>
        <w:t>第二条（経過措置）</w:t>
      </w:r>
    </w:p>
    <w:p>
      <w:r>
        <w:t>平成二十五年九月二十九日までの間における第二条及び第四条の規定の適用については、第二条中「次に掲げるもの」とあるのは「次に掲げるもの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と、第四条中「次に掲げる指定のいずれかを受けた者」とあるのは「次に掲げる指定のいずれか又は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第四十三条の二第一項の規定による指定を受けた者」と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無尽業法施行令</w:t>
      <w:br/>
      <w:tab/>
      <w:t>（平成二十一年政令第三百七号）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無尽業法施行令（平成二十一年政令第三百七号）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