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特別とん税法施行令</w:t>
        <w:br/>
        <w:t>（昭和三十二年政令第四十九号）</w:t>
      </w:r>
    </w:p>
    <w:p>
      <w:pPr>
        <w:pStyle w:val="Heading4"/>
      </w:pPr>
      <w:r>
        <w:t>第一条（船長以外の者を納税義務者とする場合の承認の手続）</w:t>
      </w:r>
    </w:p>
    <w:p>
      <w:r>
        <w:t>特別とん税法（以下「法」という。）第四条第二項（船長以外の者による納付）に規定する承認の申請は、とん税法施行令（昭和三十二年政令第四十八号）第一条（船長以外の者を納税義務者とする場合の承認の申請手続）の規定による申請をする際にあわせてしなければならない。</w:t>
      </w:r>
    </w:p>
    <w:p>
      <w:pPr>
        <w:pStyle w:val="Heading4"/>
      </w:pPr>
      <w:r>
        <w:t>第二条（とん税法施行令の準用）</w:t>
      </w:r>
    </w:p>
    <w:p>
      <w:r>
        <w:t>とん税法施行令第二条、第三条、第五条第二項から第四項まで及び第八条（申告及び納付の手続・更正又は決定の手続・とん税の納付前に出港する場合のとん税の納付手続等・税関長の権限の委任）の規定は、特別とん税について準用する。</w:t>
      </w:r>
    </w:p>
    <w:p>
      <w:pPr>
        <w:pStyle w:val="Heading4"/>
      </w:pPr>
      <w:r>
        <w:t>第三条（担保の提供の手続等）</w:t>
      </w:r>
    </w:p>
    <w:p>
      <w:r>
        <w:t>法第七条第一項（担保）の規定の適用がある場合において、とん税法（昭和三十二年法律第三十七号）第九条第一項（とん税の納付前に出港する場合の承認及び担保）の規定により担保を提供する者は、同条第二項（担保の種類及びその提供の手続等）の規定により提供する各担保物又は保証人の保証において、とん税額の八分の十に相当する特別とん税額をあわせて担保しなければならない。</w:t>
      </w:r>
    </w:p>
    <w:p>
      <w:pPr>
        <w:pStyle w:val="Heading5"/>
        <w:ind w:left="440"/>
      </w:pPr>
      <w:r>
        <w:t>２</w:t>
      </w:r>
    </w:p>
    <w:p>
      <w:pPr>
        <w:ind w:left="440"/>
      </w:pPr>
      <w:r>
        <w:t>とん税法施行令第六条（担保の提供の手続等）の規定は、法第七条第一項の規定により提供する担保について準用する。</w:t>
      </w:r>
    </w:p>
    <w:p>
      <w:pPr>
        <w:pStyle w:val="Heading4"/>
      </w:pPr>
      <w:r>
        <w:t>第四条（犯則事件の調査及び処分の手続）</w:t>
      </w:r>
    </w:p>
    <w:p>
      <w:r>
        <w:t>関税法施行令（昭和二十九年政令第百五十号）第九章（犯則事件の調査及び処分の手続）の規定は、特別とん税に係る犯則事件の調査及び処分について準用する。</w:t>
      </w:r>
    </w:p>
    <w:p>
      <w:r>
        <w:br w:type="page"/>
      </w:r>
    </w:p>
    <w:p>
      <w:pPr>
        <w:pStyle w:val="Heading1"/>
      </w:pPr>
      <w:r>
        <w:t>附　則</w:t>
      </w:r>
    </w:p>
    <w:p>
      <w:r>
        <w:t>この政令は、昭和三十二年四月一日から施行する。</w:t>
      </w:r>
    </w:p>
    <w:p>
      <w:pPr>
        <w:pStyle w:val="Heading5"/>
        <w:ind w:left="440"/>
      </w:pPr>
      <w:r>
        <w:t>２</w:t>
      </w:r>
    </w:p>
    <w:p>
      <w:pPr>
        <w:ind w:left="440"/>
      </w:pPr>
      <w:r>
        <w:t>法附則第二項に規定する国際基幹航路で政令で定めるものは、次項に規定する国際戦略港湾と北アメリカ大陸（メキシコ以南の地域を除く。）又はヨーロッパ大陸（ロシア（ベーリング海、オホーツク海及び日本海を含む太平洋に面する地域を除く。）を含む。）の港との間の航路とする。</w:t>
      </w:r>
    </w:p>
    <w:p>
      <w:pPr>
        <w:pStyle w:val="Heading5"/>
        <w:ind w:left="440"/>
      </w:pPr>
      <w:r>
        <w:t>３</w:t>
      </w:r>
    </w:p>
    <w:p>
      <w:pPr>
        <w:ind w:left="440"/>
      </w:pPr>
      <w:r>
        <w:t>法附則第二項に規定する国際戦略港湾で政令で定めるものは、港湾法施行令（昭和二十六年政令第四号）別表第一に掲げる港湾のうち、京浜、大阪、神戸、名古屋及び四日市とする。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則（昭和四一年三月三一日政令第八〇号）</w:t>
      </w:r>
    </w:p>
    <w:p>
      <w:r>
        <w:t>この政令は、昭和四十一年四月一日から施行する。</w:t>
      </w:r>
    </w:p>
    <w:p>
      <w:r>
        <w:br w:type="page"/>
      </w:r>
    </w:p>
    <w:p>
      <w:pPr>
        <w:pStyle w:val="Heading1"/>
      </w:pPr>
      <w:r>
        <w:t>附　則（令和二年三月三一日政令第一二八号）</w:t>
      </w:r>
    </w:p>
    <w:p>
      <w:r>
        <w:t>この政令は、令和二年四月一日から施行する。</w:t>
      </w:r>
    </w:p>
    <w:p>
      <w:pPr>
        <w:pStyle w:val="Heading6"/>
        <w:ind w:left="880"/>
      </w:pPr>
      <w:r>
        <w:t>一</w:t>
      </w:r>
    </w:p>
    <w:p>
      <w:pPr>
        <w:ind w:left="880"/>
      </w:pPr>
      <w:r>
        <w:t>第一条中関税法施行令附則の改正規定、第三条及び第四条の規定並びに第七条中電子情報処理組織による輸出入等関連業務の処理等に関する法律施行令別表第四七号の二の次に一号を加える改正規定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特別とん税法施行令</w:t>
      <w:br/>
      <w:tab/>
      <w:t>（昭和三十二年政令第四十九号）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特別とん税法施行令（昭和三十二年政令第四十九号）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