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特別葬祭給付金国庫債券の発行交付等に関する省令</w:t>
        <w:br/>
        <w:t>（平成七年大蔵省令第四十一号）</w:t>
      </w:r>
    </w:p>
    <w:p>
      <w:pPr>
        <w:pStyle w:val="Heading4"/>
      </w:pPr>
      <w:r>
        <w:t>第一条（国債の名称）</w:t>
      </w:r>
    </w:p>
    <w:p>
      <w:r>
        <w:t>原子爆弾被爆者に対する援護に関する法律（以下「法」という。）第三十四条第二項の規定により発行する国債は、特別葬祭給付金国庫債券（以下「国債」という。）とする。</w:t>
      </w:r>
    </w:p>
    <w:p>
      <w:pPr>
        <w:pStyle w:val="Heading4"/>
      </w:pPr>
      <w:r>
        <w:t>第二条（額面金額）</w:t>
      </w:r>
    </w:p>
    <w:p>
      <w:r>
        <w:t>国債の額面金額は、十万円とする。</w:t>
      </w:r>
    </w:p>
    <w:p>
      <w:pPr>
        <w:pStyle w:val="Heading4"/>
      </w:pPr>
      <w:r>
        <w:t>第三条（記名）</w:t>
      </w:r>
    </w:p>
    <w:p>
      <w:r>
        <w:t>国債には、その裏面に原子爆弾被爆者に対する援護に関する法律施行令（平成七年政令第二十六号）第十九条第一項の規定により厚生労働大臣の権限に属する事務を行うこととされた者が特別葬祭給付金の支給を受ける権利を有するものとして認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国債は、登録することができない。</w:t>
      </w:r>
    </w:p>
    <w:p>
      <w:pPr>
        <w:pStyle w:val="Heading4"/>
      </w:pPr>
      <w:r>
        <w:t>第五条（償還金の支払）</w:t>
      </w:r>
    </w:p>
    <w:p>
      <w:r>
        <w:t>国債の償還金は、発行の日から二年間に均等償還の方法により毎年一月三十一日に支払うものとする。</w:t>
      </w:r>
    </w:p>
    <w:p>
      <w:pPr>
        <w:pStyle w:val="Heading4"/>
      </w:pPr>
      <w:r>
        <w:t>第六条（交付価格）</w:t>
      </w:r>
    </w:p>
    <w:p>
      <w:r>
        <w:t>国債の交付価格は、額面金額百円について百円とする。</w:t>
      </w:r>
    </w:p>
    <w:p>
      <w:pPr>
        <w:pStyle w:val="Heading4"/>
      </w:pPr>
      <w:r>
        <w:t>第七条（交付の通知）</w:t>
      </w:r>
    </w:p>
    <w:p>
      <w:r>
        <w:t>財務大臣は、厚生労働大臣から国債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国債は、交付通知書に指定された日本銀行の本店、支店又は代理店において、原子爆弾被爆者に対する援護に関する法律施行規則（平成七年厚生省令第三十三号。次条第二項において「施行規則」という。）第七十三条に規定する特別葬祭給付金認定通知書（次項において「認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認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十三条第一項に規定する特別葬祭給付金を請求しようとする者は、国債の交付及びその償還金の支払の際照合の用に供するための氏名及び住所並びに当該国債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前項の届出は、施行規則第七十二条に規定する特別葬祭給付金請求書を提出する際に、これに添えて、第二号書式による氏名等届出書により行うものとする。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国債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国債の償還金は、指定日本銀行等において、支払を請求する者が受取人本人であることを示す書類の呈示を求めた上、賦札と引換えに支払うものとする。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国債の償還金の支払をしようとする場合において、その支払を受けようとする者が当該国債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国債の受取人の死亡、氏名の変更その他の理由により国債に記載された氏名を変更しようとするときは、その相続人又は受取人は、第五号書式による記名変更請求書に戸籍謄本、戸籍抄本又は相続その他の事実を証明する書類及び当該国債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この省令は、平成七年七月一日から施行する。</w:t>
      </w:r>
    </w:p>
    <w:p>
      <w:r>
        <w:br w:type="page"/>
      </w:r>
    </w:p>
    <w:p>
      <w:pPr>
        <w:pStyle w:val="Heading1"/>
      </w:pPr>
      <w:r>
        <w:t>附則（平成一二年三月二四日大蔵省令第一七号）</w:t>
      </w:r>
    </w:p>
    <w:p>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ListBullet"/>
        <w:ind w:left="880"/>
      </w:pPr>
      <w:r>
        <w:t>八</w:t>
        <w:br/>
        <w:t>特別葬祭給付金国庫債券の発行交付等に関する省令第一条の特別葬祭給付金国庫債券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特別葬祭給付金国庫債券の発行交付等に関する省令</w:t>
      <w:br/>
      <w:tab/>
      <w:t>（平成七年大蔵省令第四十一号）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特別葬祭給付金国庫債券の発行交付等に関する省令（平成七年大蔵省令第四十一号）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