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特定商取引に関する法律に係る民間事業者等が行う書面の保存等における情報通信の技術の利用に関する法律施行規則</w:t>
        <w:br/>
        <w:t>（平成二十一年内閣府・経済産業省令第五号）</w:t>
      </w:r>
    </w:p>
    <w:p>
      <w:pPr>
        <w:pStyle w:val="Heading4"/>
      </w:pPr>
      <w:r>
        <w:t>第一条（趣旨）</w:t>
      </w:r>
    </w:p>
    <w:p>
      <w:r>
        <w:t>民間事業者等が、特定商取引に関する法律（昭和五十一年法律第五十七号）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法第三条第一項の主務省令で定める保存は、特定商取引に関する法律第四十五条第一項の規定に基づく書面の保存とする。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することができなければならない。</w:t>
      </w:r>
    </w:p>
    <w:p>
      <w:pPr>
        <w:pStyle w:val="Heading5"/>
        <w:ind w:left="440"/>
      </w:pPr>
      <w:r>
        <w:t>３</w:t>
      </w:r>
    </w:p>
    <w:p>
      <w:pPr>
        <w:ind w:left="440"/>
      </w:pPr>
      <w:r>
        <w:t>特定商取引に関する法律第四十五条第一項の規定に基づき、同一内容の書面を二以上の事務所等（書面又は電磁的記録の保存が義務づ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当該事項を記載した書面を作成することができる措置を講じた場合は、当該他の事務所等に当該書面の保存が行われたものとみなす。</w:t>
      </w:r>
    </w:p>
    <w:p>
      <w:pPr>
        <w:pStyle w:val="Heading5"/>
        <w:ind w:left="440"/>
      </w:pPr>
      <w:r>
        <w:t>４</w:t>
      </w:r>
    </w:p>
    <w:p>
      <w:pPr>
        <w:ind w:left="440"/>
      </w:pPr>
      <w:r>
        <w:t>民間事業者等が、第一項の規定に基づく電磁的記録の保存を行う場合は、内閣総理大臣及び経済産業大臣が定める基準を確保するよう努めなければならない。</w:t>
      </w:r>
    </w:p>
    <w:p>
      <w:pPr>
        <w:pStyle w:val="Heading4"/>
      </w:pPr>
      <w:r>
        <w:t>第五条（法第五条第一項の主務省令で定める縦覧等）</w:t>
      </w:r>
    </w:p>
    <w:p>
      <w:r>
        <w:t>法第五条第一項の主務省令で定める縦覧等は、特定商取引に関する法律第四十五条第二項の規定に基づく書面の縦覧等とする。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法第六条第一項の主務省令で定める交付等は、特定商取引に関する法律第四十五条第二項の規定に基づく書面の交付等とする。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特定商取引に関する法律に係る民間事業者等が行う書面の保存等における情報通信の技術の利用に関する法律施行規則</w:t>
      <w:br/>
      <w:tab/>
      <w:t>（平成二十一年内閣府・経済産業省令第五号）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特定商取引に関する法律に係る民間事業者等が行う書面の保存等における情報通信の技術の利用に関する法律施行規則（平成二十一年内閣府・経済産業省令第五号）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