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特定物質等の破壊に関する基準を定める省令</w:t>
        <w:br/>
        <w:t>（令和二年経済産業省・環境省令第三号）</w:t>
      </w:r>
    </w:p>
    <w:p>
      <w:r>
        <w:t>特定物質等の規制等によるオゾン層の保護に関する法律（昭和六十三年法律第五十三号）第十一条第一項の規定に基づき、特定物質等の破壊に関する基準を定める省令を定める。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この省令は、令和三年一月一日から施行する。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特定物質等の破壊に関する基準を定める省令</w:t>
      <w:br/>
      <w:tab/>
      <w:t>（令和二年経済産業省・環境省令第三号）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特定物質等の破壊に関する基準を定める省令（令和二年経済産業省・環境省令第三号）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