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特定複合観光施設区域の整備の推進に関する法律</w:t>
        <w:br/>
        <w:t>（平成二十八年法律第百十五号）</w:t>
      </w:r>
    </w:p>
    <w:p>
      <w:pPr>
        <w:pStyle w:val="Heading2"/>
      </w:pPr>
      <w:r>
        <w:t>第一章　総則</w:t>
      </w:r>
    </w:p>
    <w:p>
      <w:pPr>
        <w:pStyle w:val="Heading4"/>
      </w:pPr>
      <w:r>
        <w:t>第一条（目的）</w:t>
      </w:r>
    </w:p>
    <w:p>
      <w:r>
        <w:t>この法律は、特定複合観光施設区域の整備の推進が、観光及び地域経済の振興に寄与するとともに、財政の改善に資するものであることに鑑み、特定複合観光施設区域の整備の推進に関する基本理念及び基本方針その他の基本となる事項を定めるとともに、特定複合観光施設区域整備推進本部を設置することにより、これを総合的かつ集中的に行うことを目的とする。</w:t>
      </w:r>
    </w:p>
    <w:p>
      <w:pPr>
        <w:pStyle w:val="Heading4"/>
      </w:pPr>
      <w:r>
        <w:t>第二条（定義）</w:t>
      </w:r>
    </w:p>
    <w:p>
      <w:r>
        <w:t>この法律において「特定複合観光施設」とは、カジノ施設（別に法律で定めるところにより第十一条のカジノ管理委員会の許可を受けた民間事業者により特定複合観光施設区域において設置され、及び運営されるものに限る。以下同じ。）及び会議場施設、レクリエーション施設、展示施設、宿泊施設その他の観光の振興に寄与すると認められる施設が一体となっている施設であって、民間事業者が設置及び運営をするものをいう。</w:t>
      </w:r>
    </w:p>
    <w:p>
      <w:pPr>
        <w:pStyle w:val="Heading5"/>
        <w:ind w:left="440"/>
      </w:pPr>
      <w:r>
        <w:t>２</w:t>
      </w:r>
    </w:p>
    <w:p>
      <w:pPr>
        <w:ind w:left="440"/>
      </w:pPr>
      <w:r>
        <w:t>この法律において「特定複合観光施設区域」とは、特定複合観光施設を設置することができる区域として、別に法律で定めるところにより地方公共団体の申請に基づき国の認定を受けた区域をいう。</w:t>
      </w:r>
    </w:p>
    <w:p>
      <w:pPr>
        <w:pStyle w:val="Heading4"/>
      </w:pPr>
      <w:r>
        <w:t>第三条（基本理念）</w:t>
      </w:r>
    </w:p>
    <w:p>
      <w:r>
        <w:t>特定複合観光施設区域の整備の推進は、地域の創意工夫及び民間の活力を生かした国際競争力の高い魅力ある滞在型観光を実現し、地域経済の振興に寄与するとともに、適切な国の監視及び管理の下で運営される健全なカジノ施設の収益が社会に還元されることを基本として行われるものとする。</w:t>
      </w:r>
    </w:p>
    <w:p>
      <w:pPr>
        <w:pStyle w:val="Heading4"/>
      </w:pPr>
      <w:r>
        <w:t>第四条（国の責務）</w:t>
      </w:r>
    </w:p>
    <w:p>
      <w:r>
        <w:t>国は、前条の基本理念にのっとり、特定複合観光施設区域の整備を推進する責務を有する。</w:t>
      </w:r>
    </w:p>
    <w:p>
      <w:pPr>
        <w:pStyle w:val="Heading4"/>
      </w:pPr>
      <w:r>
        <w:t>第五条（法制上の措置等）</w:t>
      </w:r>
    </w:p>
    <w:p>
      <w:r>
        <w:t>政府は、次章の規定に基づき、特定複合観光施設区域の整備の推進を行うものとし、このために必要な措置を講ずるものとする。</w:t>
      </w:r>
    </w:p>
    <w:p>
      <w:pPr>
        <w:pStyle w:val="Heading2"/>
      </w:pPr>
      <w:r>
        <w:t>第二章　特定複合観光施設区域の整備の推進に関し基本となる事項</w:t>
      </w:r>
    </w:p>
    <w:p>
      <w:pPr>
        <w:pStyle w:val="Heading3"/>
      </w:pPr>
      <w:r>
        <w:t>第一節　特定複合観光施設区域の整備の推進に関する基本方針</w:t>
      </w:r>
    </w:p>
    <w:p>
      <w:pPr>
        <w:pStyle w:val="Heading4"/>
      </w:pPr>
      <w:r>
        <w:t>第六条（国際競争力の高い魅力ある観光地の形成等）</w:t>
      </w:r>
    </w:p>
    <w:p>
      <w:r>
        <w:t>政府は、特定複合観光施設区域が地域の特性を生かしつつ真に国際競争力の高い魅力ある観光地の形成の中核としての機能を備えたものとなるよう、必要な措置を講ずるものとする。</w:t>
      </w:r>
    </w:p>
    <w:p>
      <w:pPr>
        <w:pStyle w:val="Heading4"/>
      </w:pPr>
      <w:r>
        <w:t>第七条（観光産業等の国際競争力の強化及び地域経済の振興）</w:t>
      </w:r>
    </w:p>
    <w:p>
      <w:r>
        <w:t>政府は、特定複合観光施設区域の整備により我が国の観光産業等の国際競争力の強化及び就業機会の増大その他の地域における経済の活性化が図られるよう、民間の資金、経営能力及び技術的能力の活用その他の必要な措置を講ずるものとする。</w:t>
      </w:r>
    </w:p>
    <w:p>
      <w:pPr>
        <w:pStyle w:val="Heading4"/>
      </w:pPr>
      <w:r>
        <w:t>第八条（地方公共団体の構想の尊重）</w:t>
      </w:r>
    </w:p>
    <w:p>
      <w:r>
        <w:t>政府は、地方公共団体による特定複合観光施設区域の整備（特定複合観光施設の設置及び運営をする事業者の選定を含む。）に係る構想のうち優れたものを、特定複合観光施設区域の整備の推進に反映するため必要な措置を講ずるものとする。</w:t>
      </w:r>
    </w:p>
    <w:p>
      <w:pPr>
        <w:pStyle w:val="Heading4"/>
      </w:pPr>
      <w:r>
        <w:t>第九条（カジノ施設関係者に対する規制）</w:t>
      </w:r>
    </w:p>
    <w:p>
      <w:r>
        <w:t>カジノ施設の設置及び運営をしようとする者（当該カジノ施設の設置及び運営に係る事業に従事しようとする者を含む。）、カジノ関連機器の製造、輸入又は販売をしようとする者並びにカジノ施設において入場者に対する役務の提供を行おうとする者（以下「カジノ施設関係者」という。）は、別に法律で定めるところにより、第十一条のカジノ管理委員会の行う規制に従わなければならない。</w:t>
      </w:r>
    </w:p>
    <w:p>
      <w:pPr>
        <w:pStyle w:val="Heading4"/>
      </w:pPr>
      <w:r>
        <w:t>第十条（カジノ施設の設置及び運営に関する規制）</w:t>
      </w:r>
    </w:p>
    <w:p>
      <w:r>
        <w:t>政府は、カジノ施設の設置及び運営に関し、カジノ施設における不正行為の防止並びにカジノ施設の設置及び運営に伴う有害な影響の排除を適切に行う観点から、次に掲げる事項について必要な措置を講ずるものとする。</w:t>
      </w:r>
    </w:p>
    <w:p>
      <w:pPr>
        <w:pStyle w:val="Heading6"/>
        <w:ind w:left="880"/>
      </w:pPr>
      <w:r>
        <w:t>一</w:t>
      </w:r>
    </w:p>
    <w:p>
      <w:pPr>
        <w:ind w:left="880"/>
      </w:pPr>
      <w:r>
        <w:t>カジノ施設において行われるゲームの公正性の確保のために必要な基準に関する事項</w:t>
      </w:r>
    </w:p>
    <w:p>
      <w:pPr>
        <w:pStyle w:val="Heading6"/>
        <w:ind w:left="880"/>
      </w:pPr>
      <w:r>
        <w:t>二</w:t>
      </w:r>
    </w:p>
    <w:p>
      <w:pPr>
        <w:ind w:left="880"/>
      </w:pPr>
      <w:r>
        <w:t>カジノ施設において用いられるチップその他の金銭の代替物の適正な利用に関する事項</w:t>
      </w:r>
    </w:p>
    <w:p>
      <w:pPr>
        <w:pStyle w:val="Heading6"/>
        <w:ind w:left="880"/>
      </w:pPr>
      <w:r>
        <w:t>三</w:t>
      </w:r>
    </w:p>
    <w:p>
      <w:pPr>
        <w:ind w:left="880"/>
      </w:pPr>
      <w:r>
        <w:t>カジノ施設関係者及びカジノ施設の入場者から暴力団員その他カジノ施設に対する関与が不適当な者を排除するために必要な規制に関する事項</w:t>
      </w:r>
    </w:p>
    <w:p>
      <w:pPr>
        <w:pStyle w:val="Heading6"/>
        <w:ind w:left="880"/>
      </w:pPr>
      <w:r>
        <w:t>四</w:t>
      </w:r>
    </w:p>
    <w:p>
      <w:pPr>
        <w:ind w:left="880"/>
      </w:pPr>
      <w:r>
        <w:t>犯罪の発生の予防及び通報のためのカジノ施設の設置及び運営をする者による監視及び防犯に係る設備、組織その他の体制の整備に関する事項</w:t>
      </w:r>
    </w:p>
    <w:p>
      <w:pPr>
        <w:pStyle w:val="Heading6"/>
        <w:ind w:left="880"/>
      </w:pPr>
      <w:r>
        <w:t>五</w:t>
      </w:r>
    </w:p>
    <w:p>
      <w:pPr>
        <w:ind w:left="880"/>
      </w:pPr>
      <w:r>
        <w:t>風俗環境の保持等のために必要な規制に関する事項</w:t>
      </w:r>
    </w:p>
    <w:p>
      <w:pPr>
        <w:pStyle w:val="Heading6"/>
        <w:ind w:left="880"/>
      </w:pPr>
      <w:r>
        <w:t>六</w:t>
      </w:r>
    </w:p>
    <w:p>
      <w:pPr>
        <w:ind w:left="880"/>
      </w:pPr>
      <w:r>
        <w:t>広告及び宣伝の規制に関する事項</w:t>
      </w:r>
    </w:p>
    <w:p>
      <w:pPr>
        <w:pStyle w:val="Heading6"/>
        <w:ind w:left="880"/>
      </w:pPr>
      <w:r>
        <w:t>七</w:t>
      </w:r>
    </w:p>
    <w:p>
      <w:pPr>
        <w:ind w:left="880"/>
      </w:pPr>
      <w:r>
        <w:t>青少年の保護のために必要な知識の普及その他の青少年の健全育成のために必要な措置に関する事項</w:t>
      </w:r>
    </w:p>
    <w:p>
      <w:pPr>
        <w:pStyle w:val="Heading6"/>
        <w:ind w:left="880"/>
      </w:pPr>
      <w:r>
        <w:t>八</w:t>
      </w:r>
    </w:p>
    <w:p>
      <w:pPr>
        <w:ind w:left="880"/>
      </w:pPr>
      <w:r>
        <w:t>カジノ施設の入場者がカジノ施設を利用したことに伴いギャンブル依存症等の悪影響を受けることを防止するために必要な措置に関する事項</w:t>
      </w:r>
    </w:p>
    <w:p>
      <w:pPr>
        <w:pStyle w:val="Heading5"/>
        <w:ind w:left="440"/>
      </w:pPr>
      <w:r>
        <w:t>２</w:t>
      </w:r>
    </w:p>
    <w:p>
      <w:pPr>
        <w:ind w:left="440"/>
      </w:pPr>
      <w:r>
        <w:t>政府は、前項に定めるもののほか、外国人旅客以外の者に係るカジノ施設の利用による悪影響を防止する観点から、カジノ施設に入場することができる者の範囲の設定その他のカジノ施設への入場に関し必要な措置を講ずるものとする。</w:t>
      </w:r>
    </w:p>
    <w:p>
      <w:pPr>
        <w:pStyle w:val="Heading3"/>
      </w:pPr>
      <w:r>
        <w:t>第二節　カジノ管理委員会の基本的な性格及び任務</w:t>
      </w:r>
    </w:p>
    <w:p>
      <w:pPr>
        <w:pStyle w:val="Heading4"/>
      </w:pPr>
      <w:r>
        <w:t>第十一条</w:t>
      </w:r>
    </w:p>
    <w:p>
      <w:r>
        <w:t>カジノ管理委員会は、別に法律で定めるところにより、内閣府に外局として置かれるものとし、カジノ施設の設置及び運営に関する秩序の維持及び安全の確保を図るため、カジノ施設関係者に対する規制を行うものとする。</w:t>
      </w:r>
    </w:p>
    <w:p>
      <w:pPr>
        <w:pStyle w:val="Heading3"/>
      </w:pPr>
      <w:r>
        <w:t>第三節　納付金等</w:t>
      </w:r>
    </w:p>
    <w:p>
      <w:pPr>
        <w:pStyle w:val="Heading4"/>
      </w:pPr>
      <w:r>
        <w:t>第十二条（納付金）</w:t>
      </w:r>
    </w:p>
    <w:p>
      <w:r>
        <w:t>国及び地方公共団体は、別に法律で定めるところにより、カジノ施設の設置及び運営をする者から納付金を徴収することができるものとする。</w:t>
      </w:r>
    </w:p>
    <w:p>
      <w:pPr>
        <w:pStyle w:val="Heading4"/>
      </w:pPr>
      <w:r>
        <w:t>第十三条（入場料）</w:t>
      </w:r>
    </w:p>
    <w:p>
      <w:r>
        <w:t>国及び地方公共団体は、別に法律で定めるところにより、カジノ施設の入場者から入場料を徴収することができるものとする。</w:t>
      </w:r>
    </w:p>
    <w:p>
      <w:pPr>
        <w:pStyle w:val="Heading2"/>
      </w:pPr>
      <w:r>
        <w:t>第三章　特定複合観光施設区域整備推進本部</w:t>
      </w:r>
    </w:p>
    <w:p>
      <w:pPr>
        <w:pStyle w:val="Heading4"/>
      </w:pPr>
      <w:r>
        <w:t>第十四条（設置）</w:t>
      </w:r>
    </w:p>
    <w:p>
      <w:r>
        <w:t>特定複合観光施設区域の整備の推進を総合的かつ集中的に行うため、内閣に、特定複合観光施設区域整備推進本部（以下「本部」という。）を置く。</w:t>
      </w:r>
    </w:p>
    <w:p>
      <w:pPr>
        <w:pStyle w:val="Heading4"/>
      </w:pPr>
      <w:r>
        <w:t>第十五条（所掌事務等）</w:t>
      </w:r>
    </w:p>
    <w:p>
      <w:r>
        <w:t>本部は、次に掲げる事務をつかさどる。</w:t>
      </w:r>
    </w:p>
    <w:p>
      <w:pPr>
        <w:pStyle w:val="Heading6"/>
        <w:ind w:left="880"/>
      </w:pPr>
      <w:r>
        <w:t>一</w:t>
      </w:r>
    </w:p>
    <w:p>
      <w:pPr>
        <w:ind w:left="880"/>
      </w:pPr>
      <w:r>
        <w:t>特定複合観光施設区域の整備の推進に関する総合調整に関すること。</w:t>
      </w:r>
    </w:p>
    <w:p>
      <w:pPr>
        <w:pStyle w:val="Heading6"/>
        <w:ind w:left="880"/>
      </w:pPr>
      <w:r>
        <w:t>二</w:t>
      </w:r>
    </w:p>
    <w:p>
      <w:pPr>
        <w:ind w:left="880"/>
      </w:pPr>
      <w:r>
        <w:t>特定複合観光施設区域の整備の推進を総合的かつ集中的に行うために必要な法律案及び政令案の立案に関すること。</w:t>
      </w:r>
    </w:p>
    <w:p>
      <w:pPr>
        <w:pStyle w:val="Heading6"/>
        <w:ind w:left="880"/>
      </w:pPr>
      <w:r>
        <w:t>三</w:t>
      </w:r>
    </w:p>
    <w:p>
      <w:pPr>
        <w:ind w:left="880"/>
      </w:pPr>
      <w:r>
        <w:t>特定複合観光施設区域の整備の推進に関する関係機関及び関係団体との連絡調整に関すること。</w:t>
      </w:r>
    </w:p>
    <w:p>
      <w:pPr>
        <w:pStyle w:val="Heading6"/>
        <w:ind w:left="880"/>
      </w:pPr>
      <w:r>
        <w:t>四</w:t>
      </w:r>
    </w:p>
    <w:p>
      <w:pPr>
        <w:ind w:left="880"/>
      </w:pPr>
      <w:r>
        <w:t>特定複合観光施設区域整備法（平成三十年法律第八十号）第九条第十二項（同法第十条第四項、第十一条第三項、第十九条第二項及び第三十五条第三項において準用する場合を含む。）又は第三十七条第四項の規定により意見を述べること。</w:t>
      </w:r>
    </w:p>
    <w:p>
      <w:pPr>
        <w:pStyle w:val="Heading5"/>
        <w:ind w:left="440"/>
      </w:pPr>
      <w:r>
        <w:t>２</w:t>
      </w:r>
    </w:p>
    <w:p>
      <w:pPr>
        <w:ind w:left="440"/>
      </w:pPr>
      <w:r>
        <w:t>本部に係る事項については、内閣法（昭和二十二年法律第五号）にいう主任の大臣は、内閣総理大臣とする。</w:t>
      </w:r>
    </w:p>
    <w:p>
      <w:pPr>
        <w:pStyle w:val="Heading4"/>
      </w:pPr>
      <w:r>
        <w:t>第十六条（組織）</w:t>
      </w:r>
    </w:p>
    <w:p>
      <w:r>
        <w:t>本部は、特定複合観光施設区域整備推進本部長、特定複合観光施設区域整備推進副本部長及び特定複合観光施設区域整備推進本部員をもって組織する。</w:t>
      </w:r>
    </w:p>
    <w:p>
      <w:pPr>
        <w:pStyle w:val="Heading4"/>
      </w:pPr>
      <w:r>
        <w:t>第十七条（特定複合観光施設区域整備推進本部長）</w:t>
      </w:r>
    </w:p>
    <w:p>
      <w:r>
        <w:t>本部の長は、特定複合観光施設区域整備推進本部長（以下「本部長」という。）とし、内閣総理大臣をもって充てる。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第十八条（特定複合観光施設区域整備推進副本部長）</w:t>
      </w:r>
    </w:p>
    <w:p>
      <w:r>
        <w:t>本部に、特定複合観光施設区域整備推進副本部長（以下「副本部長」という。）を置き、国務大臣をもって充てる。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第十九条（特定複合観光施設区域整備推進本部員）</w:t>
      </w:r>
    </w:p>
    <w:p>
      <w:r>
        <w:t>本部に、特定複合観光施設区域整備推進本部員（以下「本部員」という。）を置く。</w:t>
      </w:r>
    </w:p>
    <w:p>
      <w:pPr>
        <w:pStyle w:val="Heading5"/>
        <w:ind w:left="440"/>
      </w:pPr>
      <w:r>
        <w:t>２</w:t>
      </w:r>
    </w:p>
    <w:p>
      <w:pPr>
        <w:ind w:left="440"/>
      </w:pPr>
      <w:r>
        <w:t>本部員は、本部長及び副本部長以外の全ての国務大臣及びカジノ管理委員会委員長をもって充てる。</w:t>
      </w:r>
    </w:p>
    <w:p>
      <w:pPr>
        <w:pStyle w:val="Heading4"/>
      </w:pPr>
      <w:r>
        <w:t>第二十条（資料の提出その他の協力）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開陳、説明その他の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第二十一条（特定複合観光施設区域整備推進会議）</w:t>
      </w:r>
    </w:p>
    <w:p>
      <w:r>
        <w:t>本部に、特定複合観光施設区域整備推進会議（以下「推進会議」という。）を置く。</w:t>
      </w:r>
    </w:p>
    <w:p>
      <w:pPr>
        <w:pStyle w:val="Heading5"/>
        <w:ind w:left="440"/>
      </w:pPr>
      <w:r>
        <w:t>２</w:t>
      </w:r>
    </w:p>
    <w:p>
      <w:pPr>
        <w:ind w:left="440"/>
      </w:pPr>
      <w:r>
        <w:t>推進会議は、学識経験を有する者のうちから、内閣総理大臣が任命する委員二十人以内で組織する。</w:t>
      </w:r>
    </w:p>
    <w:p>
      <w:pPr>
        <w:pStyle w:val="Heading5"/>
        <w:ind w:left="440"/>
      </w:pPr>
      <w:r>
        <w:t>３</w:t>
      </w:r>
    </w:p>
    <w:p>
      <w:pPr>
        <w:ind w:left="440"/>
      </w:pPr>
      <w:r>
        <w:t>推進会議は、特定複合観光施設区域の整備の推進のために講ぜられる施策に係る重要事項について調査審議し、本部長に意見を述べるものとする。</w:t>
      </w:r>
    </w:p>
    <w:p>
      <w:pPr>
        <w:pStyle w:val="Heading5"/>
        <w:ind w:left="440"/>
      </w:pPr>
      <w:r>
        <w:t>４</w:t>
      </w:r>
    </w:p>
    <w:p>
      <w:pPr>
        <w:ind w:left="440"/>
      </w:pPr>
      <w:r>
        <w:t>推進会議は、前項の規定により意見を述べたときは、遅滞なく、その内容を公表しなければならない。</w:t>
      </w:r>
    </w:p>
    <w:p>
      <w:pPr>
        <w:pStyle w:val="Heading5"/>
        <w:ind w:left="440"/>
      </w:pPr>
      <w:r>
        <w:t>５</w:t>
      </w:r>
    </w:p>
    <w:p>
      <w:pPr>
        <w:ind w:left="440"/>
      </w:pPr>
      <w:r>
        <w:t>本部長は、第三項の規定による意見に基づき措置を講じたときは、その旨を推進会議に通知しなければならない。</w:t>
      </w:r>
    </w:p>
    <w:p>
      <w:pPr>
        <w:pStyle w:val="Heading4"/>
      </w:pPr>
      <w:r>
        <w:t>第二十二条（事務局）</w:t>
      </w:r>
    </w:p>
    <w:p>
      <w:r>
        <w:t>本部の事務を処理させるため、本部に、事務局を置く。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事務局長は、本部長の命を受けて、局務を掌理する。</w:t>
      </w:r>
    </w:p>
    <w:p>
      <w:pPr>
        <w:pStyle w:val="Heading4"/>
      </w:pPr>
      <w:r>
        <w:t>第二十三条（政令への委任）</w:t>
      </w:r>
    </w:p>
    <w:p>
      <w:r>
        <w:t>この法律に定めるもののほか、本部に関し必要な事項は、政令で定める。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この法律の規定及び第五条の規定に基づく措置については、この法律の施行後五年以内を目途として、必要な見直しが行われるべきものとする。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次条及び附則第三条の規定</w:t>
      </w:r>
    </w:p>
    <w:p>
      <w:pPr>
        <w:pStyle w:val="Heading6"/>
        <w:ind w:left="880"/>
      </w:pPr>
      <w:r>
        <w:t>二</w:t>
      </w:r>
    </w:p>
    <w:p>
      <w:pPr>
        <w:ind w:left="880"/>
      </w:pPr>
      <w:r>
        <w:t>第一章の規定</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第八条（行政手続等における情報通信の技術の利用に関する法律（平成十四年法律第百五十一号）第十二条の改正規定に限る。）、第九条、第十条、第十二条、第十四条（特定複合観光施設区域の整備の推進に関する法律第十九条第二項の改正規定に限る。）、第十五条及び第十六条の規定</w:t>
      </w:r>
    </w:p>
    <w:p>
      <w:pPr>
        <w:pStyle w:val="Heading6"/>
        <w:ind w:left="880"/>
      </w:pPr>
      <w:r>
        <w:t>四</w:t>
      </w:r>
    </w:p>
    <w:p>
      <w:pPr>
        <w:ind w:left="880"/>
      </w:pPr>
      <w:r>
        <w:t>第二章、第二百三十六条第一項（第一号に係る部分に限る。）、第二百三十七条第一項（第一号に係る部分に限る。）、第二百三十八条（第一号に係る部分に限る。）、第二百三十九条第一項（第一号から第四号までに係る部分に限る。）、第二百四十一条（第一号から第四号までに係る部分に限る。）並びに第二百四十三条第一項（第一号（第二百三十六条第一項第一号に係る部分に限る。）、第二号（第二百三十七条第一項第一号及び第二百三十八条第一号に係る部分に限る。）、第三号（第二百三十九条第一項第一号から第四号までに係る部分に限る。）及び第四号（第二百四十一条第一号から第四号までに係る部分に限る。）に係る部分に限る。）及び第二項（第二百三十六条第一項第一号に係る部分に限る。）並びに附則第十四条（前号に掲げる改正規定を除く。）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特定複合観光施設区域の整備の推進に関する法律</w:t>
      <w:br/>
      <w:tab/>
      <w:t>（平成二十八年法律第百十五号）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特定複合観光施設区域の整備の推進に関する法律（平成二十八年法律第百十五号）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