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特定農山村地域における農林業等の活性化のための基盤整備の促進に関する法律第十六条の地方税の不均一課税に伴う措置が適用される場合等を定める省令</w:t>
        <w:br/>
        <w:t>（平成七年自治省令第十二号）</w:t>
      </w:r>
    </w:p>
    <w:p>
      <w:pPr>
        <w:pStyle w:val="Heading4"/>
      </w:pPr>
      <w:r>
        <w:t>第一条（法第十六条に規定する総務省令で定める地方公共団体）</w:t>
      </w:r>
    </w:p>
    <w:p>
      <w:r>
        <w:t>特定農山村地域における農林業等の活性化のための基盤整備の促進に関する法律（平成五年法律第七十二号。以下「法」という。）第十六条に規定する総務省令で定める地方公共団体は、法第七条の認定を受けた者が事業を実施する法第二条第一項に規定する特定農山村地域を含む地方公共団体であって、当該認定を受けた者に係る法第七条の規定による認定が行われた日（以下「認定日」という。）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二に満たない市町村とする。</w:t>
      </w:r>
    </w:p>
    <w:p>
      <w:pPr>
        <w:pStyle w:val="Heading4"/>
      </w:pPr>
      <w:r>
        <w:t>第二条（法第十六条に規定する総務省令で定める農林業等活性化基盤施設）</w:t>
      </w:r>
    </w:p>
    <w:p>
      <w:r>
        <w:t>法第十六条に規定する総務省令で定める農林業等活性化基盤施設は、法第二条第三項第一号ロに掲げる措置を実施するために必要な施設で、特定農山村地域における農林業等の活性化のための基盤整備の促進に関する法律施行規則（平成五年総理府・農林水産省・通商産業省・建設省・自治省令第一号）第一条第一号に掲げる農用地及び森林の保全及び農林業上の利用の確保を図るために設置される農林業を担うべき人材を育成するための施設とする。</w:t>
      </w:r>
    </w:p>
    <w:p>
      <w:pPr>
        <w:pStyle w:val="Heading4"/>
      </w:pPr>
      <w:r>
        <w:t>第三条（法第十六条に規定する総務省令で定める要件に該当する者）</w:t>
      </w:r>
    </w:p>
    <w:p>
      <w:r>
        <w:t>法第十六条に規定する総務省令で定める要件に該当する者は、その発行済株式の総数又は出資金額若しくは拠出された金額の四分の一以上の数又は金額が地方公共団体により所有され又は出資若しくは拠出されている法人とする。</w:t>
      </w:r>
    </w:p>
    <w:p>
      <w:pPr>
        <w:pStyle w:val="Heading4"/>
      </w:pPr>
      <w:r>
        <w:t>第四条（法第十六条に規定する総務省令で定める場合）</w:t>
      </w:r>
    </w:p>
    <w:p>
      <w:r>
        <w:t>法第十六条に規定する総務省令で定める場合は、次の各号に掲げる税目の区分に応じ、当該各号に定める場合とする。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r>
        <w:br w:type="page"/>
      </w:r>
    </w:p>
    <w:p>
      <w:pPr>
        <w:pStyle w:val="Heading1"/>
      </w:pPr>
      <w:r>
        <w:t>附　則</w:t>
      </w:r>
    </w:p>
    <w:p>
      <w:r>
        <w:t>この省令は、公布の日から施行する。</w:t>
      </w:r>
    </w:p>
    <w:p>
      <w:r>
        <w:br w:type="page"/>
      </w:r>
    </w:p>
    <w:p>
      <w:pPr>
        <w:pStyle w:val="Heading1"/>
      </w:pPr>
      <w:r>
        <w:t>附　則（平成九年三月二八日自治省令第一四号）</w:t>
      </w:r>
    </w:p>
    <w:p>
      <w:r>
        <w:t>この省令は、平成九年四月一日から施行する。</w:t>
      </w:r>
    </w:p>
    <w:p>
      <w:pPr>
        <w:pStyle w:val="Heading5"/>
        <w:ind w:left="440"/>
      </w:pPr>
      <w:r>
        <w:t>６</w:t>
      </w:r>
    </w:p>
    <w:p>
      <w:pPr>
        <w:ind w:left="440"/>
      </w:pPr>
      <w:r>
        <w:t>第九条の規定による改正後の特定農山村地域における農林業等の活性化のための基盤整備の促進に関する法律第十六条の地方税の不均一課税に伴う措置が適用される場合等を定める省令第四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則（平成一二年三月二九日自治省令第一六号）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pPr>
        <w:pStyle w:val="Heading5"/>
        <w:ind w:left="440"/>
      </w:pPr>
      <w:r>
        <w:t>６</w:t>
      </w:r>
    </w:p>
    <w:p>
      <w:pPr>
        <w:ind w:left="440"/>
      </w:pPr>
      <w:r>
        <w:t>第八条の規定による改正後の特定農山村地域における農林業等の活性化のための基盤整備の促進に関する法律第十六条の地方税の不均一課税に伴う措置が適用される場合等を定める省令第四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　則（平成一五年三月三一日総務省令第五九号）</w:t>
      </w:r>
    </w:p>
    <w:p>
      <w:r>
        <w:t>この省令は、平成十五年四月一日から施行する。</w:t>
      </w:r>
    </w:p>
    <w:p>
      <w:pPr>
        <w:pStyle w:val="Heading5"/>
        <w:ind w:left="440"/>
      </w:pPr>
      <w:r>
        <w:t>５</w:t>
      </w:r>
    </w:p>
    <w:p>
      <w:pPr>
        <w:ind w:left="440"/>
      </w:pPr>
      <w:r>
        <w:t>第六条の規定による改正後の特定農山村地域における農林業等の活性化のための基盤整備の促進に関する法律第十六条の地方税の不均一課税に伴う措置が適用される場合等を定める省令第四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　則（平成一七年三月三一日総務省令第六四号）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特定農山村地域における農林業等の活性化のための基盤整備の促進に関する法律第十六条の地方税の不均一課税に伴う措置が適用される場合等を定める省令</w:t>
      <w:br/>
      <w:tab/>
      <w:t>（平成七年自治省令第十二号）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特定農山村地域における農林業等の活性化のための基盤整備の促進に関する法律第十六条の地方税の不均一課税に伴う措置が適用される場合等を定める省令（平成七年自治省令第十二号）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