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特定電子メールの送信の適正化等に関する法律第二条第一号の通信方式を定める省令</w:t>
        <w:br/>
        <w:t>（平成二十一年総務省令第八十五号）</w:t>
      </w:r>
    </w:p>
    <w:p>
      <w:r>
        <w:t>特定電子メールの送信の適正化等に関する法律第二条第一号の総務省令で定める通信方式は、次に掲げるものとする。</w:t>
      </w:r>
    </w:p>
    <w:p>
      <w:pPr>
        <w:pStyle w:val="Heading6"/>
        <w:ind w:left="880"/>
      </w:pPr>
      <w:r>
        <w:t>一</w:t>
      </w:r>
    </w:p>
    <w:p>
      <w:pPr>
        <w:ind w:left="880"/>
      </w:pPr>
      <w:r>
        <w:t>その全部又は一部においてシンプルメールトランスファープロトコルが用いられる通信方式</w:t>
      </w:r>
    </w:p>
    <w:p>
      <w:pPr>
        <w:pStyle w:val="Heading6"/>
        <w:ind w:left="880"/>
      </w:pPr>
      <w:r>
        <w:t>二</w:t>
      </w:r>
    </w:p>
    <w:p>
      <w:pPr>
        <w:ind w:left="880"/>
      </w:pPr>
      <w:r>
        <w:t>携帯して使用する通信端末機器に、電話番号を送受信のために用いて通信文その他の情報を伝達する通信方式</w:t>
      </w:r>
    </w:p>
    <w:p>
      <w:r>
        <w:br w:type="page"/>
      </w:r>
    </w:p>
    <w:p>
      <w:pPr>
        <w:pStyle w:val="Heading1"/>
      </w:pPr>
      <w:r>
        <w:t>附　則</w:t>
      </w:r>
    </w:p>
    <w:p>
      <w:r>
        <w:t>この省令は、消費者庁及び消費者委員会設置法（平成二十一年法律第四十八号）の施行の日（平成二十一年九月一日）から施行する。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特定電子メールの送信の適正化等に関する法律第二条第一号の通信方式を定める省令</w:t>
      <w:br/>
      <w:tab/>
      <w:t>（平成二十一年総務省令第八十五号）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特定電子メールの送信の適正化等に関する法律第二条第一号の通信方式を定める省令（平成二十一年総務省令第八十五号）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