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特許印紙の売りさばきに関する省令</w:t>
        <w:br/>
        <w:t>（平成十五年総務省令第七十一号）</w:t>
      </w:r>
    </w:p>
    <w:p>
      <w:pPr>
        <w:pStyle w:val="Heading4"/>
      </w:pPr>
      <w:r>
        <w:t>第一条（委託契約書の作成）</w:t>
      </w:r>
    </w:p>
    <w:p>
      <w:r>
        <w:t>印紙をもつてする歳入金納付に関する法律（以下「法」という。）第三条第一項の規定による特許印紙（以下「印紙」という。）の売りさばきに関する事務の委託は、あらかじめ、経済産業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r>
    </w:p>
    <w:p>
      <w:pPr>
        <w:pStyle w:val="Heading4"/>
      </w:pPr>
      <w:r>
        <w:t>第二条（印紙の交付）</w:t>
      </w:r>
    </w:p>
    <w:p>
      <w:r>
        <w:t>経済産業大臣は、前条第一項の委託契約に係る印紙に当該印紙の種類、数量その他必要な事項を記載した交付書を添えて会社の代表者に交付するものとする。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会社の代表者は、前条の規定により印紙の交付を受けたときは、直ちに、当該印紙の種類、数量その他必要な事項を記載した受領書を経済産業大臣に提出しなければならない。</w:t>
      </w:r>
    </w:p>
    <w:p>
      <w:pPr>
        <w:pStyle w:val="Heading4"/>
      </w:pPr>
      <w:r>
        <w:t>第四条（印紙の管理方法）</w:t>
      </w:r>
    </w:p>
    <w:p>
      <w:r>
        <w:t>会社の代表者は、第二条の規定により経済産業大臣から交付を受けた印紙について、必要な帳簿を備え、善良な管理者の注意をもって管理しなければならない。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郵便切手類販売所等に関する法律（昭和二十四年法律第九十一号）第三条に規定する販売者等（以下「販売者等」という。）が同法第四条第二項の規定により会社から印紙を買い受けた日及び簡易郵便局法（昭和二十四年法律第二百十三号）第四条第一項に規定する受託者（以下「受託者」という。）が同法第十条の規定により適用される郵便切手類販売所等に関する法律第四条第二項の規定により会社から印紙を買い受けた日を含む。）の属する月の翌々月の末日までに、経済産業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特許特別会計に納付しなければならない。</w:t>
      </w:r>
    </w:p>
    <w:p>
      <w:pPr>
        <w:pStyle w:val="Heading6"/>
        <w:ind w:left="880"/>
      </w:pPr>
      <w:r>
        <w:t>一</w:t>
      </w:r>
    </w:p>
    <w:p>
      <w:pPr>
        <w:ind w:left="880"/>
      </w:pPr>
      <w:r>
        <w:t>会社の代表者が売りさばいた印紙の金額の百分の三・三に相当する金額</w:t>
      </w:r>
    </w:p>
    <w:p>
      <w:pPr>
        <w:pStyle w:val="Heading6"/>
        <w:ind w:left="880"/>
      </w:pPr>
      <w:r>
        <w:t>二</w:t>
      </w:r>
    </w:p>
    <w:p>
      <w:pPr>
        <w:ind w:left="880"/>
      </w:pPr>
      <w:r>
        <w:t>会社の代表者が印紙の売りさばきに関する業務の委託をやめた販売者等、受託者又はこれらの者の相続人のそれぞれから買い戻した印紙に表された金額（買い戻しに係るものが二枚以上のときは、その合計額）の百分の九十九に相当する額（その額に一円未満の端数があるときは、その端数を切り上げた額）の合計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経済産業大臣に当該印紙の種類、数量その他必要な事項を記載した書面により処分の申請を行い、経済産業大臣から不用決定通知があったときは、遅滞なく、裁断その他確実に処分できると認められる方法により処分しなければならない。</w:t>
      </w:r>
    </w:p>
    <w:p>
      <w:pPr>
        <w:pStyle w:val="Heading6"/>
        <w:ind w:left="880"/>
      </w:pPr>
      <w:r>
        <w:t>一</w:t>
      </w:r>
    </w:p>
    <w:p>
      <w:pPr>
        <w:ind w:left="880"/>
      </w:pPr>
      <w:r>
        <w:t>会社の代表者が故意又は重大な過失によらないで損傷したと認めた印紙</w:t>
      </w:r>
    </w:p>
    <w:p>
      <w:pPr>
        <w:pStyle w:val="Heading6"/>
        <w:ind w:left="880"/>
      </w:pPr>
      <w:r>
        <w:t>二</w:t>
      </w:r>
    </w:p>
    <w:p>
      <w:pPr>
        <w:ind w:left="880"/>
      </w:pPr>
      <w:r>
        <w:t>会社の代表者が印紙の売りさばきに関する事務の委託をやめた販売者等、受託者又はこれらの者の相続人から買い戻した印紙のうち、シート状でない印紙</w:t>
      </w:r>
    </w:p>
    <w:p>
      <w:pPr>
        <w:pStyle w:val="Heading6"/>
        <w:ind w:left="880"/>
      </w:pPr>
      <w:r>
        <w:t>三</w:t>
      </w:r>
    </w:p>
    <w:p>
      <w:pPr>
        <w:ind w:left="880"/>
      </w:pPr>
      <w:r>
        <w:t>売りさばきが廃止された印紙</w:t>
      </w:r>
    </w:p>
    <w:p>
      <w:pPr>
        <w:pStyle w:val="Heading6"/>
        <w:ind w:left="880"/>
      </w:pPr>
      <w:r>
        <w:t>四</w:t>
      </w:r>
    </w:p>
    <w:p>
      <w:pPr>
        <w:ind w:left="880"/>
      </w:pPr>
      <w: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経済産業大臣に報告し、必要な指示を求めなければならない。</w:t>
      </w:r>
    </w:p>
    <w:p>
      <w:pPr>
        <w:pStyle w:val="Heading6"/>
        <w:ind w:left="880"/>
      </w:pPr>
      <w:r>
        <w:t>一</w:t>
      </w:r>
    </w:p>
    <w:p>
      <w:pPr>
        <w:ind w:left="880"/>
      </w:pPr>
      <w:r>
        <w:t>亡失したとき。</w:t>
      </w:r>
    </w:p>
    <w:p>
      <w:pPr>
        <w:pStyle w:val="Heading6"/>
        <w:ind w:left="880"/>
      </w:pPr>
      <w:r>
        <w:t>二</w:t>
      </w:r>
    </w:p>
    <w:p>
      <w:pPr>
        <w:ind w:left="880"/>
      </w:pPr>
      <w: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経済産業大臣は、必要があると認めるときは、会社の代表者に対し、総務大臣を経由して、印紙の売りさばきの方法その他印紙の売りさばきに関して必要な指示を行い、又は報告を求めることができる。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郵便切手類販売所等に関する法律第三条に規定する郵便切手類販売所、同法第三条に規定する印紙売りさばき所及び簡易郵便局法第七条第一項に規定する簡易郵便局の設置の状況について、定期的に、総務大臣を経由して経済産業大臣に報告するものとする。</w:t>
      </w:r>
    </w:p>
    <w:p>
      <w:r>
        <w:br w:type="page"/>
      </w:r>
    </w:p>
    <w:p>
      <w:pPr>
        <w:pStyle w:val="Heading1"/>
      </w:pPr>
      <w:r>
        <w:t>附　則</w:t>
      </w:r>
    </w:p>
    <w:p>
      <w:r>
        <w:t>この省令は、平成十五年四月一日から施行する。</w:t>
      </w:r>
    </w:p>
    <w:p>
      <w:pPr>
        <w:pStyle w:val="Heading5"/>
        <w:ind w:left="440"/>
      </w:pPr>
      <w:r>
        <w:t>２</w:t>
      </w:r>
    </w:p>
    <w:p>
      <w:pPr>
        <w:ind w:left="440"/>
      </w:pPr>
      <w:r>
        <w:t>この省令の施行の日において、公社総裁が保管する特許特別会計に帰属する印紙は、経済産業大臣が公社総裁に交付した委託に係る印紙とみなす。</w:t>
      </w:r>
    </w:p>
    <w:p>
      <w:pPr>
        <w:pStyle w:val="Heading5"/>
        <w:ind w:left="440"/>
      </w:pPr>
      <w:r>
        <w:t>３</w:t>
      </w:r>
    </w:p>
    <w:p>
      <w:pPr>
        <w:ind w:left="440"/>
      </w:pPr>
      <w:r>
        <w:t>公社総裁は、前項の規定により、経済産業大臣が公社総裁に交付した委託に係る印紙とみなされた印紙の種類及び数量について、平成十五年五月三十一日までに経済産業大臣に報告しなければならない。</w:t>
      </w:r>
    </w:p>
    <w:p>
      <w:r>
        <w:br w:type="page"/>
      </w:r>
    </w:p>
    <w:p>
      <w:pPr>
        <w:pStyle w:val="Heading1"/>
      </w:pPr>
      <w:r>
        <w:t>附　則（平成一七年三月三一日総務省令第六三号）</w:t>
      </w:r>
    </w:p>
    <w:p>
      <w:r>
        <w:t>この省令は、平成十七年四月一日から施行する。</w:t>
      </w:r>
    </w:p>
    <w:p>
      <w:r>
        <w:br w:type="page"/>
      </w:r>
    </w:p>
    <w:p>
      <w:pPr>
        <w:pStyle w:val="Heading1"/>
      </w:pPr>
      <w:r>
        <w:t>附　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　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第四条（経過措置）</w:t>
      </w:r>
    </w:p>
    <w:p>
      <w:r>
        <w:t>第三条の規定による改正後の特許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　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第四条（経過措置）</w:t>
      </w:r>
    </w:p>
    <w:p>
      <w:r>
        <w:t>第三条の規定による改正後の特許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特許印紙の売りさばきに関する省令</w:t>
      <w:br/>
      <w:tab/>
      <w:t>（平成十五年総務省令第七十一号）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特許印紙の売りさばきに関する省令（平成十五年総務省令第七十一号）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