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狂犬病予防法施行規則</w:t>
        <w:br/>
        <w:t>（昭和二十五年厚生省令第五十二号）</w:t>
      </w:r>
    </w:p>
    <w:p>
      <w:pPr>
        <w:pStyle w:val="Heading4"/>
      </w:pPr>
      <w:r>
        <w:t>第一条（法第二条第三項の報告）</w:t>
      </w:r>
    </w:p>
    <w:p>
      <w:r>
        <w:t>狂犬病予防法（昭和二十五年法律第二百四十七号。以下「法」という。）第二条第三項の規定による報告は、同条第二項の規定により指定する必要がある動物の種類及び狂犬病の発生状況その他必要な事項を記載した報告書を提出して行うものとする。</w:t>
      </w:r>
    </w:p>
    <w:p>
      <w:pPr>
        <w:pStyle w:val="Heading4"/>
      </w:pPr>
      <w:r>
        <w:t>第二条（予防員の証票）</w:t>
      </w:r>
    </w:p>
    <w:p>
      <w:r>
        <w:t>法第三条第二項の規定による狂犬病予防員（以下「予防員」という。）の身分を示す証票は、別記様式第一による。</w:t>
      </w:r>
    </w:p>
    <w:p>
      <w:pPr>
        <w:pStyle w:val="Heading4"/>
      </w:pPr>
      <w:r>
        <w:t>第三条（登録の申請）</w:t>
      </w:r>
    </w:p>
    <w:p>
      <w:r>
        <w:t>法第四条第一項の規定により登録の申請をしようとする者は、次に掲げる事項を記載した申請書を提出しなければならない。</w:t>
      </w:r>
    </w:p>
    <w:p>
      <w:pPr>
        <w:pStyle w:val="ListBullet"/>
        <w:ind w:left="880"/>
      </w:pPr>
      <w:r>
        <w:t>一</w:t>
        <w:br/>
        <w:t>所有者の氏名及び住所（法人にあつては、その名称及び主たる事務所の所在地。以下同じ。）</w:t>
      </w:r>
    </w:p>
    <w:p>
      <w:pPr>
        <w:pStyle w:val="ListBullet"/>
        <w:ind w:left="880"/>
      </w:pPr>
      <w:r>
        <w:t>二</w:t>
        <w:br/>
        <w:t>犬の所在地</w:t>
      </w:r>
    </w:p>
    <w:p>
      <w:pPr>
        <w:pStyle w:val="ListBullet"/>
        <w:ind w:left="880"/>
      </w:pPr>
      <w:r>
        <w:t>三</w:t>
        <w:br/>
        <w:t>犬の種類</w:t>
      </w:r>
    </w:p>
    <w:p>
      <w:pPr>
        <w:pStyle w:val="ListBullet"/>
        <w:ind w:left="880"/>
      </w:pPr>
      <w:r>
        <w:t>四</w:t>
        <w:br/>
        <w:t>犬の生年月日</w:t>
      </w:r>
    </w:p>
    <w:p>
      <w:pPr>
        <w:pStyle w:val="ListBullet"/>
        <w:ind w:left="880"/>
      </w:pPr>
      <w:r>
        <w:t>五</w:t>
        <w:br/>
        <w:t>犬の毛色</w:t>
      </w:r>
    </w:p>
    <w:p>
      <w:pPr>
        <w:pStyle w:val="ListBullet"/>
        <w:ind w:left="880"/>
      </w:pPr>
      <w:r>
        <w:t>六</w:t>
        <w:br/>
        <w:t>犬の性別</w:t>
      </w:r>
    </w:p>
    <w:p>
      <w:pPr>
        <w:pStyle w:val="ListBullet"/>
        <w:ind w:left="880"/>
      </w:pPr>
      <w:r>
        <w:t>七</w:t>
        <w:br/>
        <w:t>犬の名</w:t>
      </w:r>
    </w:p>
    <w:p>
      <w:pPr>
        <w:pStyle w:val="ListBullet"/>
        <w:ind w:left="880"/>
      </w:pPr>
      <w:r>
        <w:t>八</w:t>
        <w:br/>
        <w:t>前五号のほか犬の特徴となるべき事項</w:t>
      </w:r>
    </w:p>
    <w:p>
      <w:pPr>
        <w:pStyle w:val="Heading4"/>
      </w:pPr>
      <w:r>
        <w:t>第四条（原簿の記載事項）</w:t>
      </w:r>
    </w:p>
    <w:p>
      <w:r>
        <w:t>法第四条第二項の原簿には、前条第一項各号に掲げる事項、登録年月日及び登録番号を記載しなければならない。</w:t>
      </w:r>
    </w:p>
    <w:p>
      <w:pPr>
        <w:pStyle w:val="Heading4"/>
      </w:pPr>
      <w:r>
        <w:t>第五条（鑑札の内容等）</w:t>
      </w:r>
    </w:p>
    <w:p>
      <w:r>
        <w:t>法第四条第二項の規定に基づき市町村長（特別区にあつては、区長。次項及び第十二条第四項を除き、以下同じ。）が交付する鑑札は、次に掲げる条件（保健所を設置する市の市長又は特別区の区長が交付する鑑札にあつては、第二号ハに掲げるものを除く。）を具備したものでなければならない。</w:t>
        <w:br/>
        <w:t>ただし、市町村長が別に鑑札を定めたときは、次の第一号から第三号までに掲げる条件を満たす限りにおいて、当該鑑札によることができる。</w:t>
      </w:r>
    </w:p>
    <w:p>
      <w:pPr>
        <w:pStyle w:val="ListBullet"/>
        <w:ind w:left="880"/>
      </w:pPr>
      <w:r>
        <w:t>一</w:t>
        <w:br/>
        <w:t>耐久性のある材料で造られ、首輪、胴輪その他その犬が着用するものに付着させることができるものであること。</w:t>
      </w:r>
    </w:p>
    <w:p>
      <w:pPr>
        <w:pStyle w:val="ListBullet"/>
        <w:ind w:left="880"/>
      </w:pPr>
      <w:r>
        <w:t>二</w:t>
        <w:br/>
        <w:t>次に掲げる事項が記載されていること。</w:t>
      </w:r>
    </w:p>
    <w:p>
      <w:pPr>
        <w:pStyle w:val="ListBullet"/>
        <w:ind w:left="880"/>
      </w:pPr>
      <w:r>
        <w:t>三</w:t>
        <w:br/>
        <w:t>前号イに掲げる事項については、識別しやすい色の文字で表示するものとし、日本産業規格Ｚ八三〇五に規定する十二ポイント以上の大きさの文字を用いること。</w:t>
      </w:r>
    </w:p>
    <w:p>
      <w:pPr>
        <w:pStyle w:val="ListBullet"/>
        <w:ind w:left="880"/>
      </w:pPr>
      <w:r>
        <w:t>四</w:t>
        <w:br/>
        <w:t>次のいずれかに該当するものであること。</w:t>
      </w:r>
    </w:p>
    <w:p>
      <w:pPr>
        <w:pStyle w:val="Heading5"/>
        <w:ind w:left="440"/>
      </w:pPr>
      <w:r>
        <w:t>２</w:t>
      </w:r>
    </w:p>
    <w:p>
      <w:pPr>
        <w:ind w:left="440"/>
      </w:pPr>
      <w:r>
        <w:t>市町村長（保健所を設置する市の長を除く。第十二条第四項において同じ。）は、前項の規定により鑑札を定めたときは、その内容を当該市町村の属する都道府県の知事に通知しなければならない。</w:t>
      </w:r>
    </w:p>
    <w:p>
      <w:pPr>
        <w:pStyle w:val="Heading4"/>
      </w:pPr>
      <w:r>
        <w:t>第六条（鑑札の再交付）</w:t>
      </w:r>
    </w:p>
    <w:p>
      <w:r>
        <w:t>犬の所有者は、鑑札を亡失し、又は損傷したときは、その事由を書き、損傷した場合には、その鑑札を添え、三十日以内に犬の所在地の市町村長に再交付を申請しなければならない。</w:t>
      </w:r>
    </w:p>
    <w:p>
      <w:pPr>
        <w:pStyle w:val="Heading5"/>
        <w:ind w:left="440"/>
      </w:pPr>
      <w:r>
        <w:t>２</w:t>
      </w:r>
    </w:p>
    <w:p>
      <w:pPr>
        <w:ind w:left="440"/>
      </w:pPr>
      <w:r>
        <w:t>前項の規定により鑑札の再交付を申請した後、亡失した鑑札を発見したときは、五日以内に犬の所在地の市町村長にこれを提出しなければならない。</w:t>
      </w:r>
    </w:p>
    <w:p>
      <w:pPr>
        <w:pStyle w:val="Heading4"/>
      </w:pPr>
      <w:r>
        <w:t>第七条（変更の届出事項）</w:t>
      </w:r>
    </w:p>
    <w:p>
      <w:r>
        <w:t>法第四条第四項に規定する厚生労働省令で定める事項は、犬の所有者の氏名及び住所とする。</w:t>
      </w:r>
    </w:p>
    <w:p>
      <w:pPr>
        <w:pStyle w:val="Heading4"/>
      </w:pPr>
      <w:r>
        <w:t>第八条（犬の死亡の届出）</w:t>
      </w:r>
    </w:p>
    <w:p>
      <w:r>
        <w:t>法第四条第四項の規定により犬の死亡の届出をしようとする者は、次に掲げる事項を記載した届出書を提出しなければならない。</w:t>
      </w:r>
    </w:p>
    <w:p>
      <w:pPr>
        <w:pStyle w:val="ListBullet"/>
        <w:ind w:left="880"/>
      </w:pPr>
      <w:r>
        <w:t>一</w:t>
        <w:br/>
        <w:t>死亡した犬の死亡の当時における所有者の氏名及び住所</w:t>
      </w:r>
    </w:p>
    <w:p>
      <w:pPr>
        <w:pStyle w:val="ListBullet"/>
        <w:ind w:left="880"/>
      </w:pPr>
      <w:r>
        <w:t>二</w:t>
        <w:br/>
        <w:t>登録年度及び登録番号</w:t>
      </w:r>
    </w:p>
    <w:p>
      <w:pPr>
        <w:pStyle w:val="ListBullet"/>
        <w:ind w:left="880"/>
      </w:pPr>
      <w:r>
        <w:t>三</w:t>
        <w:br/>
        <w:t>死亡の年月日</w:t>
      </w:r>
    </w:p>
    <w:p>
      <w:pPr>
        <w:pStyle w:val="Heading5"/>
        <w:ind w:left="440"/>
      </w:pPr>
      <w:r>
        <w:t>２</w:t>
      </w:r>
    </w:p>
    <w:p>
      <w:pPr>
        <w:ind w:left="440"/>
      </w:pPr>
      <w:r>
        <w:t>前項の届出書には、鑑札及び注射済票を添付しなければならない。</w:t>
        <w:br/>
        <w:t>ただし、正当な理由があるときは、この限りでない。</w:t>
      </w:r>
    </w:p>
    <w:p>
      <w:pPr>
        <w:pStyle w:val="Heading4"/>
      </w:pPr>
      <w:r>
        <w:t>第九条（登録事項の変更の届出）</w:t>
      </w:r>
    </w:p>
    <w:p>
      <w:r>
        <w:t>法第四条第四項又は第五項の規定により登録事項の変更の届出をしようとする者は、次に掲げる事項を記載した届出書を提出しなければならない。</w:t>
      </w:r>
    </w:p>
    <w:p>
      <w:pPr>
        <w:pStyle w:val="ListBullet"/>
        <w:ind w:left="880"/>
      </w:pPr>
      <w:r>
        <w:t>一</w:t>
        <w:br/>
        <w:t>所有者の氏名及び住所</w:t>
      </w:r>
    </w:p>
    <w:p>
      <w:pPr>
        <w:pStyle w:val="ListBullet"/>
        <w:ind w:left="880"/>
      </w:pPr>
      <w:r>
        <w:t>二</w:t>
        <w:br/>
        <w:t>登録年度及び登録番号</w:t>
      </w:r>
    </w:p>
    <w:p>
      <w:pPr>
        <w:pStyle w:val="ListBullet"/>
        <w:ind w:left="880"/>
      </w:pPr>
      <w:r>
        <w:t>三</w:t>
        <w:br/>
        <w:t>変更した事項（当該事項に係る新旧の対照を明示すること。）</w:t>
      </w:r>
    </w:p>
    <w:p>
      <w:pPr>
        <w:pStyle w:val="Heading4"/>
      </w:pPr>
      <w:r>
        <w:t>第十条</w:t>
      </w:r>
    </w:p>
    <w:p>
      <w:r>
        <w:t>削除</w:t>
      </w:r>
    </w:p>
    <w:p>
      <w:pPr>
        <w:pStyle w:val="Heading4"/>
      </w:pPr>
      <w:r>
        <w:t>第十一条（予防注射の時期）</w:t>
      </w:r>
    </w:p>
    <w:p>
      <w:r>
        <w:t>生後九十一日以上の犬（次項に規定する犬であつて、三月二日から六月三十日までの間に所有されるに至つたものを除く。）の所有者は、法第五条第一項の規定により、その犬について、狂犬病の予防注射を四月一日から六月三十日までの間に一回受けさせなければならない。</w:t>
        <w:br/>
        <w:t>ただし、三月二日以降において既に狂犬病の予防注射を受けた犬については、この限りでない。</w:t>
      </w:r>
    </w:p>
    <w:p>
      <w:pPr>
        <w:pStyle w:val="Heading5"/>
        <w:ind w:left="440"/>
      </w:pPr>
      <w:r>
        <w:t>２</w:t>
      </w:r>
    </w:p>
    <w:p>
      <w:pPr>
        <w:ind w:left="440"/>
      </w:pPr>
      <w:r>
        <w:t>生後九十一日以上の犬であつて、三月二日（一月一日から五月三十一日までの間にその犬を所有するに至つた場合においては、前年の三月二日）以降に狂犬病の予防注射を受けていないもの又は受けたかどうか明らかでないものを所有するに至つた者は、法第五条第一項の規定により、その犬について、その犬を所有するに至つた日から三十日以内に狂犬病の予防注射を受けさせなければならない。</w:t>
      </w:r>
    </w:p>
    <w:p>
      <w:pPr>
        <w:pStyle w:val="Heading5"/>
        <w:ind w:left="440"/>
      </w:pPr>
      <w:r>
        <w:t>３</w:t>
      </w:r>
    </w:p>
    <w:p>
      <w:pPr>
        <w:ind w:left="440"/>
      </w:pPr>
      <w:r>
        <w:t>前二項の場合において、狂犬病の予防注射を受けさせなければならない犬を所有者以外の者が管理するときは、第一項中「所有される」とあるのは「管理される」と、「所有者」とあるのは「管理者」と、前項中「所有する」とあるのは「管理する」と、それぞれ読み替えるものとする。</w:t>
      </w:r>
    </w:p>
    <w:p>
      <w:pPr>
        <w:pStyle w:val="Heading4"/>
      </w:pPr>
      <w:r>
        <w:t>第十二条（注射済票の交付）</w:t>
      </w:r>
    </w:p>
    <w:p>
      <w:r>
        <w:t>獣医師が狂犬病の予防注射を行つたときは、その犬の所有者（所有者以外の者が管理する場合にはその者。以下同じ。）に対して、別記様式第四による注射済証を交付しなければならない。</w:t>
      </w:r>
    </w:p>
    <w:p>
      <w:pPr>
        <w:pStyle w:val="Heading5"/>
        <w:ind w:left="440"/>
      </w:pPr>
      <w:r>
        <w:t>２</w:t>
      </w:r>
    </w:p>
    <w:p>
      <w:pPr>
        <w:ind w:left="440"/>
      </w:pPr>
      <w:r>
        <w:t>犬の所有者は、前項に規定する注射済証を市町村長に提示し、注射済票の交付を受けなければならない。</w:t>
      </w:r>
    </w:p>
    <w:p>
      <w:pPr>
        <w:pStyle w:val="Heading5"/>
        <w:ind w:left="440"/>
      </w:pPr>
      <w:r>
        <w:t>３</w:t>
      </w:r>
    </w:p>
    <w:p>
      <w:pPr>
        <w:ind w:left="440"/>
      </w:pPr>
      <w:r>
        <w:t>前項の規定に基づき市町村長が交付する注射済票は、次に掲げる条件（保健所を設置する市の市長又は特別区の区長が交付する注射済票にあつては、第二号ハに掲げるものを除く。）を具備したものでなければならない。</w:t>
        <w:br/>
        <w:t>ただし、市町村長が別に注射済票を定めたときは、次の第一号から第四号までに掲げる条件を満たす限りにおいて、当該注射済票によることができる。</w:t>
      </w:r>
    </w:p>
    <w:p>
      <w:pPr>
        <w:pStyle w:val="ListBullet"/>
        <w:ind w:left="880"/>
      </w:pPr>
      <w:r>
        <w:t>一</w:t>
        <w:br/>
        <w:t>耐久性のある材料で造られ、首輪、胴輪、鑑札その他その犬が着用するものに付着させることができるものであること。</w:t>
      </w:r>
    </w:p>
    <w:p>
      <w:pPr>
        <w:pStyle w:val="ListBullet"/>
        <w:ind w:left="880"/>
      </w:pPr>
      <w:r>
        <w:t>二</w:t>
        <w:br/>
        <w:t>次に掲げる事項が記載されていること。</w:t>
      </w:r>
    </w:p>
    <w:p>
      <w:pPr>
        <w:pStyle w:val="ListBullet"/>
        <w:ind w:left="880"/>
      </w:pPr>
      <w:r>
        <w:t>三</w:t>
        <w:br/>
        <w:t>前号イに掲げる事項については、識別しやすい色の文字で表示するものとし、日本産業規格Ｚ八三〇五に規定する八ポイント以上の大きさの文字を用いること。</w:t>
      </w:r>
    </w:p>
    <w:p>
      <w:pPr>
        <w:pStyle w:val="ListBullet"/>
        <w:ind w:left="880"/>
      </w:pPr>
      <w:r>
        <w:t>四</w:t>
        <w:br/>
        <w:t>色は、平成十九年度に実施する狂犬病の予防注射の注射済票にあつては黄、平成二十年度に実施する狂犬病の予防注射の注射済票にあつては赤、平成二十一年度に実施する狂犬病の予防注射の注射済票にあつては青とし、その後は順次これを繰り返したものであること。</w:t>
      </w:r>
    </w:p>
    <w:p>
      <w:pPr>
        <w:pStyle w:val="ListBullet"/>
        <w:ind w:left="880"/>
      </w:pPr>
      <w:r>
        <w:t>五</w:t>
        <w:br/>
        <w:t>次のいずれかに該当するものであること。</w:t>
      </w:r>
    </w:p>
    <w:p>
      <w:pPr>
        <w:pStyle w:val="Heading5"/>
        <w:ind w:left="440"/>
      </w:pPr>
      <w:r>
        <w:t>４</w:t>
      </w:r>
    </w:p>
    <w:p>
      <w:pPr>
        <w:ind w:left="440"/>
      </w:pPr>
      <w:r>
        <w:t>市町村長は、前項の規定により注射済票を定めたときは、その内容を当該市町村の属する都道府県の知事に通知しなければならない。</w:t>
      </w:r>
    </w:p>
    <w:p>
      <w:pPr>
        <w:pStyle w:val="Heading5"/>
        <w:ind w:left="440"/>
      </w:pPr>
      <w:r>
        <w:t>５</w:t>
      </w:r>
    </w:p>
    <w:p>
      <w:pPr>
        <w:ind w:left="440"/>
      </w:pPr>
      <w:r>
        <w:t>毎年三月二日から同月三十一日までの間に実施する狂犬病予防注射について、第二項の規定に基づき市町村長が交付する注射済票は、翌年度のものとする。</w:t>
      </w:r>
    </w:p>
    <w:p>
      <w:pPr>
        <w:pStyle w:val="Heading4"/>
      </w:pPr>
      <w:r>
        <w:t>第十三条（注射済票の再交付）</w:t>
      </w:r>
    </w:p>
    <w:p>
      <w:r>
        <w:t>犬の所有者は、注射済票を亡失し、又は損傷したときは、その事由を書き、注射済証を提示し、かつ、損傷した場合にはその注射済票を添えて市町村長に申請して再交付を受けなければならない。</w:t>
      </w:r>
    </w:p>
    <w:p>
      <w:pPr>
        <w:pStyle w:val="Heading5"/>
        <w:ind w:left="440"/>
      </w:pPr>
      <w:r>
        <w:t>２</w:t>
      </w:r>
    </w:p>
    <w:p>
      <w:pPr>
        <w:ind w:left="440"/>
      </w:pPr>
      <w:r>
        <w:t>第六条第二項の規定は、前項の場合に準用する。</w:t>
      </w:r>
    </w:p>
    <w:p>
      <w:pPr>
        <w:pStyle w:val="Heading4"/>
      </w:pPr>
      <w:r>
        <w:t>第十四条（狂犬病予防技術員）</w:t>
      </w:r>
    </w:p>
    <w:p>
      <w:r>
        <w:t>法第六条第二項の捕獲人を狂犬病予防技術員と称し、同条第六項において準用する法第三条第二項の規定によるその身分を示す証票は、別記様式第六による。</w:t>
      </w:r>
    </w:p>
    <w:p>
      <w:pPr>
        <w:pStyle w:val="Heading4"/>
      </w:pPr>
      <w:r>
        <w:t>第十五条（所有者への通知）</w:t>
      </w:r>
    </w:p>
    <w:p>
      <w:r>
        <w:t>予防員は、法第六条第七項（法第十八条第二項において準用する場合を含む。）の規定によつて犬の所有者に通知するときは、配達証明郵便若しく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厚生労働大臣が定めるもの又は使送によらなければならない。</w:t>
      </w:r>
    </w:p>
    <w:p>
      <w:pPr>
        <w:pStyle w:val="Heading4"/>
      </w:pPr>
      <w:r>
        <w:t>第十六条（狂犬病の犬等の届出）</w:t>
      </w:r>
    </w:p>
    <w:p>
      <w:r>
        <w:t>法第八条第一項の規定による届出は、次の事項について行うものとする。</w:t>
      </w:r>
    </w:p>
    <w:p>
      <w:pPr>
        <w:pStyle w:val="ListBullet"/>
        <w:ind w:left="880"/>
      </w:pPr>
      <w:r>
        <w:t>一</w:t>
        <w:br/>
        <w:t>犬にあつては、次に掲げる事項</w:t>
      </w:r>
    </w:p>
    <w:p>
      <w:pPr>
        <w:pStyle w:val="ListBullet"/>
        <w:ind w:left="880"/>
      </w:pPr>
      <w:r>
        <w:t>二</w:t>
        <w:br/>
        <w:t>法第二条第一項第二号に掲げる動物にあつては、次に掲げる事項</w:t>
      </w:r>
    </w:p>
    <w:p>
      <w:pPr>
        <w:pStyle w:val="Heading4"/>
      </w:pPr>
      <w:r>
        <w:t>第十七条（毒えさに用いる薬品の種類）</w:t>
      </w:r>
    </w:p>
    <w:p>
      <w:r>
        <w:t>狂犬病予防法施行令（昭和二十八年政令第二百三十六号）第七条第二項に規定する薬品は、硝酸ストリキニーネとする。</w:t>
      </w:r>
    </w:p>
    <w:p>
      <w:pPr>
        <w:pStyle w:val="Heading4"/>
      </w:pPr>
      <w:r>
        <w:t>第十八条（フレキシブルディスクによる手続）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ListBullet"/>
        <w:ind w:left="880"/>
      </w:pPr>
      <w:r>
        <w:t>一</w:t>
        <w:br/>
        <w:t>第三条に規定する申請書</w:t>
      </w:r>
    </w:p>
    <w:p>
      <w:pPr>
        <w:pStyle w:val="ListBullet"/>
        <w:ind w:left="880"/>
      </w:pPr>
      <w:r>
        <w:t>二</w:t>
        <w:br/>
        <w:t>第六条第一項の規定による申請</w:t>
      </w:r>
    </w:p>
    <w:p>
      <w:pPr>
        <w:pStyle w:val="ListBullet"/>
        <w:ind w:left="880"/>
      </w:pPr>
      <w:r>
        <w:t>三</w:t>
        <w:br/>
        <w:t>第八条第一項に規定する届出書</w:t>
      </w:r>
    </w:p>
    <w:p>
      <w:pPr>
        <w:pStyle w:val="ListBullet"/>
        <w:ind w:left="880"/>
      </w:pPr>
      <w:r>
        <w:t>四</w:t>
        <w:br/>
        <w:t>第九条に規定する届出書</w:t>
      </w:r>
    </w:p>
    <w:p>
      <w:pPr>
        <w:pStyle w:val="ListBullet"/>
        <w:ind w:left="880"/>
      </w:pPr>
      <w:r>
        <w:t>五</w:t>
        <w:br/>
        <w:t>第十三条第一項の規定による申請</w:t>
      </w:r>
    </w:p>
    <w:p>
      <w:pPr>
        <w:pStyle w:val="ListBullet"/>
        <w:ind w:left="880"/>
      </w:pPr>
      <w:r>
        <w:t>六</w:t>
        <w:br/>
        <w:t>第十六条の規定による届出</w:t>
      </w:r>
    </w:p>
    <w:p>
      <w:pPr>
        <w:pStyle w:val="Heading4"/>
      </w:pPr>
      <w:r>
        <w:t>第十九条（フレキシブルディスクの構造）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第二十条（フレキシブルディスクへの記録方式）</w:t>
      </w:r>
    </w:p>
    <w:p>
      <w:r>
        <w:t>第十八条のフレキシブルディスクへの記録は、次に掲げる方式に従つてしなければならない。</w:t>
      </w:r>
    </w:p>
    <w:p>
      <w:pPr>
        <w:pStyle w:val="ListBullet"/>
        <w:ind w:left="880"/>
      </w:pPr>
      <w:r>
        <w:t>一</w:t>
        <w:br/>
        <w:t>トラックフォーマットについては、日本工業規格Ｘ六二二四号又は日本産業規格Ｘ六二二五号に規定する方式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第二十一条（フレキシブルディスクに貼り付ける書面）</w:t>
      </w:r>
    </w:p>
    <w:p>
      <w:r>
        <w:t>第十八条のフレキシブルディスクには、日本産業規格Ｘ六二二三号に規定するラベル領域に、次に掲げる事項を記載した書面を貼り付けなければならない。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令和二年十二月三十一日までの間、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るやむを得ない事情により、第十一条第一項又は第二項（これらの規定を同条第三項の規定により読み替えて適用する場合を含む。）の規定に基づき当該各項に定める期間内に狂犬病の予防注射を受けさせることができなかつた犬の所有者又は管理者については、当該所有者又は管理者が当該事情が消滅した後速やかにその犬について狂犬病の予防注射を受けさせたときは、当該期間内に狂犬病の予防注射を受けさせたものとみなす。</w:t>
      </w:r>
    </w:p>
    <w:p>
      <w:r>
        <w:br w:type="page"/>
      </w:r>
    </w:p>
    <w:p>
      <w:pPr>
        <w:pStyle w:val="Heading1"/>
      </w:pPr>
      <w:r>
        <w:t>附則（昭和二八年一〇月一三日厚生省令第五六号）</w:t>
      </w:r>
    </w:p>
    <w:p>
      <w:r>
        <w:t>この省令は、公布の日から施行し、昭和二十八年九月一日から適用する。</w:t>
      </w:r>
    </w:p>
    <w:p>
      <w:r>
        <w:br w:type="page"/>
      </w:r>
    </w:p>
    <w:p>
      <w:pPr>
        <w:pStyle w:val="Heading1"/>
      </w:pPr>
      <w:r>
        <w:t>附則（昭和二九年七月一七日厚生省令第四〇号）</w:t>
      </w:r>
    </w:p>
    <w:p>
      <w:pPr>
        <w:pStyle w:val="Heading5"/>
        <w:ind w:left="440"/>
      </w:pPr>
      <w:r>
        <w:t>１</w:t>
      </w:r>
    </w:p>
    <w:p>
      <w:pPr>
        <w:ind w:left="440"/>
      </w:pPr>
      <w:r>
        <w:t>この省令は、公布の日から施行する。</w:t>
      </w:r>
    </w:p>
    <w:p>
      <w:r>
        <w:br w:type="page"/>
      </w:r>
    </w:p>
    <w:p>
      <w:pPr>
        <w:pStyle w:val="Heading1"/>
      </w:pPr>
      <w:r>
        <w:t>附則（昭和四二年八月一日厚生省令第二五号）</w:t>
      </w:r>
    </w:p>
    <w:p>
      <w:r>
        <w:t>この省令は、公布の日から施行する。</w:t>
      </w:r>
    </w:p>
    <w:p>
      <w:r>
        <w:br w:type="page"/>
      </w:r>
    </w:p>
    <w:p>
      <w:pPr>
        <w:pStyle w:val="Heading1"/>
      </w:pPr>
      <w:r>
        <w:t>附則（昭和四二年九月二八日厚生省令第四〇号）</w:t>
      </w:r>
    </w:p>
    <w:p>
      <w:r>
        <w:t>この省令は、公布の日から施行する。</w:t>
      </w:r>
    </w:p>
    <w:p>
      <w:r>
        <w:br w:type="page"/>
      </w:r>
    </w:p>
    <w:p>
      <w:pPr>
        <w:pStyle w:val="Heading1"/>
      </w:pPr>
      <w:r>
        <w:t>附則（昭和五五年三月一四日厚生省令第三号）</w:t>
      </w:r>
    </w:p>
    <w:p>
      <w:r>
        <w:t>この省令は、許可、認可等の整理に関する法律（昭和五十四年法律第七十号）の一部の施行の日（昭和五十五年三月二十四日）から施行する。</w:t>
      </w:r>
    </w:p>
    <w:p>
      <w:r>
        <w:br w:type="page"/>
      </w:r>
    </w:p>
    <w:p>
      <w:pPr>
        <w:pStyle w:val="Heading1"/>
      </w:pPr>
      <w:r>
        <w:t>附則（昭和六〇年九月一四日厚生省令第三八号）</w:t>
      </w:r>
    </w:p>
    <w:p>
      <w:pPr>
        <w:pStyle w:val="Heading5"/>
        <w:ind w:left="440"/>
      </w:pPr>
      <w:r>
        <w:t>１</w:t>
      </w:r>
    </w:p>
    <w:p>
      <w:pPr>
        <w:ind w:left="440"/>
      </w:pPr>
      <w:r>
        <w:t>この省令は、昭和六十年十月一日から施行する。</w:t>
      </w:r>
    </w:p>
    <w:p>
      <w:pPr>
        <w:pStyle w:val="Heading5"/>
        <w:ind w:left="440"/>
      </w:pPr>
      <w:r>
        <w:t>２</w:t>
      </w:r>
    </w:p>
    <w:p>
      <w:pPr>
        <w:ind w:left="440"/>
      </w:pPr>
      <w:r>
        <w:t>昭和六十年四月一日から九月三十日までの間にこの省令による改正前の狂犬病予防法施行規則第十一条の規定による狂犬病の予防注射を受けた犬については、この省令による改正後の狂犬病予防法施行規則第十一条の規定は、昭和六十一年三月三十一日までの間は適用しない。</w:t>
      </w:r>
    </w:p>
    <w:p>
      <w:pPr>
        <w:pStyle w:val="Heading5"/>
        <w:ind w:left="440"/>
      </w:pPr>
      <w:r>
        <w:t>３</w:t>
      </w:r>
    </w:p>
    <w:p>
      <w:pPr>
        <w:ind w:left="440"/>
      </w:pPr>
      <w:r>
        <w:t>この省令の施行の日から昭和六十一年三月三十一日までの間における狂犬病の予防注射に係るこの省令による改正後の狂犬病予防法施行規則第十一条の適用については、同条第一項中「三月二日から六月三十日までの間に」とあるのは「十月一日から同月三十一日までの間に」と、「四月一日から六月三十日までの間に」とあるのは「十月一日から同月三十一日までの間に」と、「三月二日以降に」とあるのは「十月一日以降に」と、同条第二項中「三月二日（一月一日から五月三十一日までの間にその犬を所有するに至つた場合においては、前年の三月二日）以降に」とあるのは「十月一日以降に」とする。</w:t>
      </w:r>
    </w:p>
    <w:p>
      <w:pPr>
        <w:pStyle w:val="Heading5"/>
        <w:ind w:left="440"/>
      </w:pPr>
      <w:r>
        <w:t>４</w:t>
      </w:r>
    </w:p>
    <w:p>
      <w:pPr>
        <w:ind w:left="440"/>
      </w:pPr>
      <w:r>
        <w:t>この省令による改正前の狂犬病予防法施行規則別記様式第五による昭和六十年四月から六月までの間に実施する狂犬病予防注射の注射済票であつてこの省令の施行の際現にあるものについては、この省令による改正後の狂犬病予防法施行規則別記様式第五による昭和六十年度に実施する狂犬病予防注射の注射済票とみなす。</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２</w:t>
      </w:r>
    </w:p>
    <w:p>
      <w:pPr>
        <w:ind w:left="440"/>
      </w:pPr>
      <w:r>
        <w:t>当分の間、この省令による改正後の狂犬病予防法施行規則別記様式第六中「市又は特別区」とあるのは「市」と、「市又は区名」とあるのは「市名」とする。</w:t>
      </w:r>
    </w:p>
    <w:p>
      <w:r>
        <w:br w:type="page"/>
      </w:r>
    </w:p>
    <w:p>
      <w:pPr>
        <w:pStyle w:val="Heading1"/>
      </w:pPr>
      <w:r>
        <w:t>附則（平成七年二月六日厚生省令第二号）</w:t>
      </w:r>
    </w:p>
    <w:p>
      <w:pPr>
        <w:pStyle w:val="Heading5"/>
        <w:ind w:left="440"/>
      </w:pPr>
      <w:r>
        <w:t>１</w:t>
      </w:r>
    </w:p>
    <w:p>
      <w:pPr>
        <w:ind w:left="440"/>
      </w:pPr>
      <w:r>
        <w:t>この省令は、平成七年四月一日から施行する。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附則（平成一一年三月一五日厚生省令第二〇号）</w:t>
      </w:r>
    </w:p>
    <w:p>
      <w:pPr>
        <w:pStyle w:val="Heading5"/>
        <w:ind w:left="440"/>
      </w:pPr>
      <w:r>
        <w:t>１</w:t>
      </w:r>
    </w:p>
    <w:p>
      <w:pPr>
        <w:ind w:left="440"/>
      </w:pPr>
      <w:r>
        <w:t>この省令は、平成十一年四月一日から施行する。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第二条（狂犬病予防法施行規則の一部改正に伴う経過措置）</w:t>
      </w:r>
    </w:p>
    <w:p>
      <w:r>
        <w:t>この省令の施行前に第三条の規定による改正前の狂犬病予防法施行規則（以下この条において「旧省令」という。）第六条第一項及び第二項、第十二条第二項並びに第十三条第一項の規定により都道府県知事（保健所を設置する市又は特別区にあっては、市長又は区長。次項において同じ。）に対し申請、提出又は提示をしなければならない事項で、施行日前にその手続がされていないものについては、これを、それぞれ第三条の規定による改正後の狂犬病予防法施行規則（以下この条において「新省令」という。）第六条第一項及び第二項、第十二条第二項並びに第十三条第一項の規定により市町村長（特別区にあっては、区長。次項において同じ。）に対し申請、提出又は提示をしなければならない事項についてその手続がなされていないものとみなして、新省令を適用する。</w:t>
      </w:r>
    </w:p>
    <w:p>
      <w:pPr>
        <w:pStyle w:val="Heading5"/>
        <w:ind w:left="440"/>
      </w:pPr>
      <w:r>
        <w:t>２</w:t>
      </w:r>
    </w:p>
    <w:p>
      <w:pPr>
        <w:ind w:left="440"/>
      </w:pPr>
      <w:r>
        <w:t>この省令の施行の際現に旧省令第十二条第二項の規定により都道府県知事に対してされている提示は、新省令第十二条第二項の規定により市町村長に対してされた提示とみなす。</w:t>
      </w:r>
    </w:p>
    <w:p>
      <w:pPr>
        <w:pStyle w:val="Heading5"/>
        <w:ind w:left="440"/>
      </w:pPr>
      <w:r>
        <w:t>３</w:t>
      </w:r>
    </w:p>
    <w:p>
      <w:pPr>
        <w:ind w:left="440"/>
      </w:pPr>
      <w:r>
        <w:t>この省令の施行の際現に交付されている旧省令別記様式第三による鑑札及び別記様式第五による注射済票は、それぞれ新省令によるものとみなす。</w:t>
      </w:r>
    </w:p>
    <w:p>
      <w:pPr>
        <w:pStyle w:val="Heading5"/>
        <w:ind w:left="440"/>
      </w:pPr>
      <w:r>
        <w:t>４</w:t>
      </w:r>
    </w:p>
    <w:p>
      <w:pPr>
        <w:ind w:left="440"/>
      </w:pPr>
      <w:r>
        <w:t>この省令の施行の際現にある旧省令別記様式第三による鑑札は、当分の間、これを取り繕って使用することができる。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附則（平成一三年三月三〇日厚生労働省令第八〇号）</w:t>
      </w:r>
    </w:p>
    <w:p>
      <w:r>
        <w:t>この省令は、平成十三年四月一日から施行する。</w:t>
      </w:r>
    </w:p>
    <w:p>
      <w:r>
        <w:br w:type="page"/>
      </w:r>
    </w:p>
    <w:p>
      <w:pPr>
        <w:pStyle w:val="Heading1"/>
      </w:pPr>
      <w:r>
        <w:t>附則（平成一五年三月二七日厚生労働省令第五六号）</w:t>
      </w:r>
    </w:p>
    <w:p>
      <w:r>
        <w:t>この省令は、平成十五年四月一日から施行する。</w:t>
      </w:r>
    </w:p>
    <w:p>
      <w:r>
        <w:br w:type="page"/>
      </w:r>
    </w:p>
    <w:p>
      <w:pPr>
        <w:pStyle w:val="Heading1"/>
      </w:pPr>
      <w:r>
        <w:t>附則（平成一九年三月二日厚生労働省令第一七号）</w:t>
      </w:r>
    </w:p>
    <w:p>
      <w:pPr>
        <w:pStyle w:val="Heading4"/>
      </w:pPr>
      <w:r>
        <w:t>第一条（施行期日）</w:t>
      </w:r>
    </w:p>
    <w:p>
      <w:r>
        <w:t>この省令は、平成十九年四月一日から施行する。</w:t>
      </w:r>
    </w:p>
    <w:p>
      <w:pPr>
        <w:pStyle w:val="Heading4"/>
      </w:pPr>
      <w:r>
        <w:t>第二条（経過措置）</w:t>
      </w:r>
    </w:p>
    <w:p>
      <w:r>
        <w:t>この省令の施行の際現に交付されているこの省令による改正前の狂犬病予防法施行規則（以下「旧省令」という。）別記様式第三による鑑札及び旧省令別記様式第五による注射済票は、この省令による改正後の狂犬病予防法施行規則によるものとみなす。</w:t>
      </w:r>
    </w:p>
    <w:p>
      <w:pPr>
        <w:pStyle w:val="Heading4"/>
      </w:pPr>
      <w:r>
        <w:t>第三条</w:t>
      </w:r>
    </w:p>
    <w:p>
      <w:r>
        <w:t>旧省令別記様式第三による鑑札及び旧省令別記様式第五による注射済票は、平成二十二年三月三十一日までの間は、これを使用することができる。</w:t>
      </w:r>
    </w:p>
    <w:p>
      <w:r>
        <w:br w:type="page"/>
      </w:r>
    </w:p>
    <w:p>
      <w:pPr>
        <w:pStyle w:val="Heading1"/>
      </w:pPr>
      <w:r>
        <w:t>附則（平成二三年五月二〇日厚生労働省令第六三号）</w:t>
      </w:r>
    </w:p>
    <w:p>
      <w:r>
        <w:t>この省令は、公布の日から施行し、改正後の附則第二項の規定中第十一条第二項（同条第三項の規定により読み替えて適用する場合を含む。）に係る部分は、平成二十三年三月十一日から適用する。</w:t>
      </w:r>
    </w:p>
    <w:p>
      <w:r>
        <w:br w:type="page"/>
      </w:r>
    </w:p>
    <w:p>
      <w:pPr>
        <w:pStyle w:val="Heading1"/>
      </w:pPr>
      <w:r>
        <w:t>附則（平成二八年六月二七日厚生労働省令第一一九号）</w:t>
      </w:r>
    </w:p>
    <w:p>
      <w:r>
        <w:t>この省令は、公布の日から施行し、改正後の附則第二項の規定中第十一条第二項（同条第三項の規定により読み替えて適用する場合を含む。）に係る部分は、平成二十八年四月十四日から適用する。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附則（令和二年六月一一日厚生労働省令第一二一号）</w:t>
      </w:r>
    </w:p>
    <w:p>
      <w:r>
        <w:t>この省令は、公布の日から施行し、この省令による改正後の狂犬病予防法施行規則附則第二項の規定中第十一条第二項（同条第三項の規定により読み替えて適用する場合を含む。）に係る部分は、令和二年三月八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狂犬病予防法施行規則</w:t>
      <w:br/>
      <w:tab/>
      <w:t>（昭和二十五年厚生省令第五十二号）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狂犬病予防法施行規則（昭和二十五年厚生省令第五十二号）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